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DA" w:rsidRDefault="000B4CEB">
      <w:pPr>
        <w:rPr>
          <w:lang w:val="sv-FI"/>
        </w:rPr>
      </w:pPr>
      <w:bookmarkStart w:id="0" w:name="_GoBack"/>
      <w:bookmarkEnd w:id="0"/>
      <w:r w:rsidRPr="000B4CEB">
        <w:rPr>
          <w:lang w:val="sv-FI"/>
        </w:rPr>
        <w:t>Alaska och Finland</w:t>
      </w:r>
    </w:p>
    <w:p w:rsidR="000B4CEB" w:rsidRDefault="000B4CEB">
      <w:pPr>
        <w:rPr>
          <w:lang w:val="sv-FI"/>
        </w:rPr>
      </w:pPr>
    </w:p>
    <w:p w:rsidR="000B4CEB" w:rsidRDefault="00813BD7" w:rsidP="000B4CEB">
      <w:pPr>
        <w:pStyle w:val="Heading1"/>
        <w:rPr>
          <w:lang w:val="sv-FI"/>
        </w:rPr>
      </w:pPr>
      <w:r>
        <w:rPr>
          <w:lang w:val="sv-FI"/>
        </w:rPr>
        <w:t>Ryssland i Nordamerika</w:t>
      </w:r>
    </w:p>
    <w:p w:rsidR="00813BD7" w:rsidRDefault="000B4CEB" w:rsidP="000B4CEB">
      <w:pPr>
        <w:spacing w:line="360" w:lineRule="auto"/>
        <w:ind w:left="1418"/>
        <w:rPr>
          <w:lang w:val="sv-FI"/>
        </w:rPr>
      </w:pPr>
      <w:r>
        <w:rPr>
          <w:lang w:val="sv-FI"/>
        </w:rPr>
        <w:t xml:space="preserve">Rysslands expansion till Alaska inleddes nästan ett sekel innan Finland kom att ingå som det mest västliga motpolen i detta mäktiga rike som omfattade delar av Europa, Asien, Sibirien och Nordamerika.  Rysslands kraftiga expansion både i öster och i väst startade under Peter den Stores tid expanderat sitt välde både i öst och </w:t>
      </w:r>
      <w:r w:rsidR="00813BD7">
        <w:rPr>
          <w:lang w:val="sv-FI"/>
        </w:rPr>
        <w:t xml:space="preserve">i </w:t>
      </w:r>
      <w:r>
        <w:rPr>
          <w:lang w:val="sv-FI"/>
        </w:rPr>
        <w:t xml:space="preserve">väst. </w:t>
      </w:r>
      <w:r w:rsidR="00813BD7">
        <w:rPr>
          <w:lang w:val="sv-FI"/>
        </w:rPr>
        <w:t>Den ”stora ofredens”, då ryssarna ockuperade Finland mellan 1713-1721</w:t>
      </w:r>
      <w:r w:rsidR="009B28F8">
        <w:rPr>
          <w:lang w:val="sv-FI"/>
        </w:rPr>
        <w:t>,</w:t>
      </w:r>
      <w:r w:rsidR="00813BD7">
        <w:rPr>
          <w:lang w:val="sv-FI"/>
        </w:rPr>
        <w:t xml:space="preserve"> är ett resultat av denna expansions</w:t>
      </w:r>
      <w:r w:rsidR="009B28F8">
        <w:rPr>
          <w:lang w:val="sv-FI"/>
        </w:rPr>
        <w:t>politik som ledde till att det s</w:t>
      </w:r>
      <w:r w:rsidR="00813BD7">
        <w:rPr>
          <w:lang w:val="sv-FI"/>
        </w:rPr>
        <w:t xml:space="preserve">venska rikets militära ställning försämrades </w:t>
      </w:r>
      <w:r w:rsidR="009B28F8">
        <w:rPr>
          <w:lang w:val="sv-FI"/>
        </w:rPr>
        <w:t>till följd av utdragna krig och</w:t>
      </w:r>
      <w:r w:rsidR="00813BD7">
        <w:rPr>
          <w:lang w:val="sv-FI"/>
        </w:rPr>
        <w:t xml:space="preserve"> de Baltiska provinserna överlämnades till Ryssland i freden i Nystad 1721. </w:t>
      </w:r>
    </w:p>
    <w:p w:rsidR="000B4CEB" w:rsidRDefault="000B4CEB" w:rsidP="000B4CEB">
      <w:pPr>
        <w:spacing w:line="360" w:lineRule="auto"/>
        <w:ind w:left="1418"/>
        <w:rPr>
          <w:lang w:val="sv-FI"/>
        </w:rPr>
      </w:pPr>
      <w:r>
        <w:rPr>
          <w:lang w:val="sv-FI"/>
        </w:rPr>
        <w:t xml:space="preserve">Den östliga expansionen </w:t>
      </w:r>
      <w:r w:rsidR="00813BD7">
        <w:rPr>
          <w:lang w:val="sv-FI"/>
        </w:rPr>
        <w:t xml:space="preserve">som drog över det stora Sibiriska taigan </w:t>
      </w:r>
      <w:r>
        <w:rPr>
          <w:lang w:val="sv-FI"/>
        </w:rPr>
        <w:t>hade varit snabb tack vare de ryska pälsjägarna, ”</w:t>
      </w:r>
      <w:proofErr w:type="spellStart"/>
      <w:r>
        <w:rPr>
          <w:i/>
          <w:lang w:val="sv-FI"/>
        </w:rPr>
        <w:t>promyslenniki</w:t>
      </w:r>
      <w:proofErr w:type="spellEnd"/>
      <w:r>
        <w:rPr>
          <w:lang w:val="sv-FI"/>
        </w:rPr>
        <w:t>”, som på jakt efter den dyrbara sobeln</w:t>
      </w:r>
      <w:r w:rsidR="009B28F8">
        <w:rPr>
          <w:lang w:val="sv-FI"/>
        </w:rPr>
        <w:t>, den ryska varianten av mården,</w:t>
      </w:r>
      <w:r>
        <w:rPr>
          <w:lang w:val="sv-FI"/>
        </w:rPr>
        <w:t xml:space="preserve"> förflyttat sig längre o</w:t>
      </w:r>
      <w:r w:rsidR="00813BD7">
        <w:rPr>
          <w:lang w:val="sv-FI"/>
        </w:rPr>
        <w:t>ch längre öst</w:t>
      </w:r>
      <w:r w:rsidR="00D96344">
        <w:rPr>
          <w:lang w:val="sv-FI"/>
        </w:rPr>
        <w:t xml:space="preserve">erut </w:t>
      </w:r>
      <w:r w:rsidR="009B28F8">
        <w:rPr>
          <w:lang w:val="sv-FI"/>
        </w:rPr>
        <w:t>och nådde fram till Stilla havet kring mitten av 1600-talet</w:t>
      </w:r>
      <w:r>
        <w:rPr>
          <w:lang w:val="sv-FI"/>
        </w:rPr>
        <w:t>.</w:t>
      </w:r>
      <w:r w:rsidR="009B28F8">
        <w:rPr>
          <w:lang w:val="sv-FI"/>
        </w:rPr>
        <w:t xml:space="preserve"> Expansionsvågen stannade av ett tag framöver tills den dansbördige </w:t>
      </w:r>
      <w:r>
        <w:rPr>
          <w:lang w:val="sv-FI"/>
        </w:rPr>
        <w:t xml:space="preserve">flottkommendören </w:t>
      </w:r>
      <w:r w:rsidR="00D96344">
        <w:rPr>
          <w:lang w:val="sv-FI"/>
        </w:rPr>
        <w:t>Vitus Berings fick till uppgift att kartlägga området öster om den Sibiriska kusten. T</w:t>
      </w:r>
      <w:r w:rsidR="00D96344" w:rsidRPr="00D96344">
        <w:rPr>
          <w:lang w:val="sv-FI"/>
        </w:rPr>
        <w:t>sar Peter den st</w:t>
      </w:r>
      <w:r w:rsidR="00D96344">
        <w:rPr>
          <w:lang w:val="sv-FI"/>
        </w:rPr>
        <w:t xml:space="preserve">ores nybildade flotta behövde kunniga </w:t>
      </w:r>
      <w:r w:rsidR="00D96344" w:rsidRPr="00D96344">
        <w:rPr>
          <w:lang w:val="sv-FI"/>
        </w:rPr>
        <w:t xml:space="preserve">västeuropeiska sjömän </w:t>
      </w:r>
      <w:r w:rsidR="00D96344">
        <w:rPr>
          <w:lang w:val="sv-FI"/>
        </w:rPr>
        <w:t>och Bering utsågs till expeditionsledare</w:t>
      </w:r>
      <w:r w:rsidR="00E2135B">
        <w:rPr>
          <w:lang w:val="sv-FI"/>
        </w:rPr>
        <w:t>. Bering genomförde två</w:t>
      </w:r>
      <w:r>
        <w:rPr>
          <w:lang w:val="sv-FI"/>
        </w:rPr>
        <w:t xml:space="preserve"> expeditionsresor </w:t>
      </w:r>
      <w:r w:rsidR="00E2135B">
        <w:rPr>
          <w:lang w:val="sv-FI"/>
        </w:rPr>
        <w:t>i norra stilla havet 1720 och 1741.</w:t>
      </w:r>
    </w:p>
    <w:p w:rsidR="000B4CEB" w:rsidRDefault="00E2135B" w:rsidP="000B4CEB">
      <w:pPr>
        <w:pStyle w:val="Heading2"/>
        <w:spacing w:line="360" w:lineRule="auto"/>
        <w:ind w:left="698" w:firstLine="720"/>
        <w:rPr>
          <w:lang w:val="sv-FI"/>
        </w:rPr>
      </w:pPr>
      <w:r>
        <w:rPr>
          <w:lang w:val="sv-FI"/>
        </w:rPr>
        <w:t>Den första tiden i Alaska</w:t>
      </w:r>
    </w:p>
    <w:p w:rsidR="000B4CEB" w:rsidRDefault="000B4CEB" w:rsidP="000B4CEB">
      <w:pPr>
        <w:spacing w:line="360" w:lineRule="auto"/>
        <w:ind w:left="1418"/>
        <w:rPr>
          <w:lang w:val="sv-FI"/>
        </w:rPr>
      </w:pPr>
      <w:r>
        <w:rPr>
          <w:lang w:val="sv-FI"/>
        </w:rPr>
        <w:t>Under Berin</w:t>
      </w:r>
      <w:r w:rsidR="00E2135B">
        <w:rPr>
          <w:lang w:val="sv-FI"/>
        </w:rPr>
        <w:t>gs andra expedition</w:t>
      </w:r>
      <w:r>
        <w:rPr>
          <w:lang w:val="sv-FI"/>
        </w:rPr>
        <w:t xml:space="preserve"> kom hans besättning för första gången i</w:t>
      </w:r>
      <w:r w:rsidR="00E2135B">
        <w:rPr>
          <w:lang w:val="sv-FI"/>
        </w:rPr>
        <w:t xml:space="preserve"> kontakt med</w:t>
      </w:r>
      <w:r>
        <w:rPr>
          <w:lang w:val="sv-FI"/>
        </w:rPr>
        <w:t xml:space="preserve"> </w:t>
      </w:r>
      <w:r w:rsidR="00E2135B">
        <w:rPr>
          <w:lang w:val="sv-FI"/>
        </w:rPr>
        <w:t>ur</w:t>
      </w:r>
      <w:r>
        <w:rPr>
          <w:lang w:val="sv-FI"/>
        </w:rPr>
        <w:t>befolkning</w:t>
      </w:r>
      <w:r w:rsidR="00E2135B">
        <w:rPr>
          <w:lang w:val="sv-FI"/>
        </w:rPr>
        <w:t xml:space="preserve">en på de </w:t>
      </w:r>
      <w:proofErr w:type="spellStart"/>
      <w:r w:rsidR="00E2135B">
        <w:rPr>
          <w:lang w:val="sv-FI"/>
        </w:rPr>
        <w:t>Aleutiska</w:t>
      </w:r>
      <w:proofErr w:type="spellEnd"/>
      <w:r w:rsidR="00E2135B">
        <w:rPr>
          <w:lang w:val="sv-FI"/>
        </w:rPr>
        <w:t xml:space="preserve"> öarna</w:t>
      </w:r>
      <w:r>
        <w:rPr>
          <w:lang w:val="sv-FI"/>
        </w:rPr>
        <w:t xml:space="preserve">. Eftersom Bering själv insjuknat i skörbjugg var hans underbefälhavare Sven </w:t>
      </w:r>
      <w:proofErr w:type="spellStart"/>
      <w:r>
        <w:rPr>
          <w:lang w:val="sv-FI"/>
        </w:rPr>
        <w:t>Waxell</w:t>
      </w:r>
      <w:proofErr w:type="spellEnd"/>
      <w:r>
        <w:rPr>
          <w:lang w:val="sv-FI"/>
        </w:rPr>
        <w:t xml:space="preserve">, av svensk börd, med om mötet. Mötet gick väl till i början, tills </w:t>
      </w:r>
      <w:proofErr w:type="spellStart"/>
      <w:r>
        <w:rPr>
          <w:lang w:val="sv-FI"/>
        </w:rPr>
        <w:t>Waxell</w:t>
      </w:r>
      <w:proofErr w:type="spellEnd"/>
      <w:r>
        <w:rPr>
          <w:lang w:val="sv-FI"/>
        </w:rPr>
        <w:t xml:space="preserve"> försökte bjuda </w:t>
      </w:r>
      <w:proofErr w:type="spellStart"/>
      <w:r>
        <w:rPr>
          <w:lang w:val="sv-FI"/>
        </w:rPr>
        <w:t>aleuterna</w:t>
      </w:r>
      <w:proofErr w:type="spellEnd"/>
      <w:r>
        <w:rPr>
          <w:lang w:val="sv-FI"/>
        </w:rPr>
        <w:t xml:space="preserve"> på brännvin. Den första som smakade på den främmande drycken blev förskräckt av smaken och spottade ut den, därefter vägrade de ta emot några som helst gåvor av ryssarna. Däremot ville de bestämt hålla kvar en äldre </w:t>
      </w:r>
      <w:proofErr w:type="spellStart"/>
      <w:r>
        <w:rPr>
          <w:lang w:val="sv-FI"/>
        </w:rPr>
        <w:t>tjuktji</w:t>
      </w:r>
      <w:proofErr w:type="spellEnd"/>
      <w:r>
        <w:rPr>
          <w:lang w:val="sv-FI"/>
        </w:rPr>
        <w:t xml:space="preserve">-man som expeditionen medtagit som tolk. Situationen löstes med att </w:t>
      </w:r>
      <w:proofErr w:type="spellStart"/>
      <w:r>
        <w:rPr>
          <w:lang w:val="sv-FI"/>
        </w:rPr>
        <w:t>Waxell</w:t>
      </w:r>
      <w:proofErr w:type="spellEnd"/>
      <w:r>
        <w:rPr>
          <w:lang w:val="sv-FI"/>
        </w:rPr>
        <w:t xml:space="preserve"> lät lossa två gevärssalvor över huvuden på </w:t>
      </w:r>
      <w:proofErr w:type="spellStart"/>
      <w:r>
        <w:rPr>
          <w:lang w:val="sv-FI"/>
        </w:rPr>
        <w:t>aleuterna</w:t>
      </w:r>
      <w:proofErr w:type="spellEnd"/>
      <w:r>
        <w:rPr>
          <w:lang w:val="sv-FI"/>
        </w:rPr>
        <w:t xml:space="preserve"> varvid expeditionen kunde fly</w:t>
      </w:r>
      <w:r>
        <w:rPr>
          <w:rStyle w:val="FootnoteReference"/>
          <w:lang w:val="sv-FI"/>
        </w:rPr>
        <w:footnoteReference w:id="1"/>
      </w:r>
      <w:r>
        <w:rPr>
          <w:lang w:val="sv-FI"/>
        </w:rPr>
        <w:t xml:space="preserve">.  </w:t>
      </w:r>
    </w:p>
    <w:p w:rsidR="000B4CEB" w:rsidRDefault="00E2135B" w:rsidP="00E2135B">
      <w:pPr>
        <w:spacing w:line="360" w:lineRule="auto"/>
        <w:ind w:left="1418"/>
        <w:rPr>
          <w:lang w:val="sv-FI"/>
        </w:rPr>
      </w:pPr>
      <w:r>
        <w:rPr>
          <w:lang w:val="sv-FI"/>
        </w:rPr>
        <w:t xml:space="preserve">Bering dog under hans sista expedition men de kvarlevande medlemmarna lyckades återkomma till Petropavlovsk. Deras återkomst väckte stor </w:t>
      </w:r>
      <w:proofErr w:type="gramStart"/>
      <w:r>
        <w:rPr>
          <w:lang w:val="sv-FI"/>
        </w:rPr>
        <w:t>uppmärksamhet ,</w:t>
      </w:r>
      <w:proofErr w:type="gramEnd"/>
      <w:r>
        <w:rPr>
          <w:lang w:val="sv-FI"/>
        </w:rPr>
        <w:t xml:space="preserve"> i synnerhet då de medförde en stor mängd </w:t>
      </w:r>
      <w:r w:rsidR="000B4CEB">
        <w:rPr>
          <w:lang w:val="sv-FI"/>
        </w:rPr>
        <w:t xml:space="preserve">havsutterskinn </w:t>
      </w:r>
      <w:r>
        <w:rPr>
          <w:lang w:val="sv-FI"/>
        </w:rPr>
        <w:t xml:space="preserve">från de </w:t>
      </w:r>
      <w:proofErr w:type="spellStart"/>
      <w:r>
        <w:rPr>
          <w:lang w:val="sv-FI"/>
        </w:rPr>
        <w:t>Aleutiska</w:t>
      </w:r>
      <w:proofErr w:type="spellEnd"/>
      <w:r>
        <w:rPr>
          <w:lang w:val="sv-FI"/>
        </w:rPr>
        <w:t xml:space="preserve"> öarna. D</w:t>
      </w:r>
      <w:r w:rsidR="000B4CEB">
        <w:rPr>
          <w:lang w:val="sv-FI"/>
        </w:rPr>
        <w:t xml:space="preserve">e lokala pälsjägarna som befann sig vid de sibiriska kuststäderna såg sin chans och tillverkade i all hast flera </w:t>
      </w:r>
      <w:r w:rsidR="000B4CEB">
        <w:rPr>
          <w:lang w:val="sv-FI"/>
        </w:rPr>
        <w:lastRenderedPageBreak/>
        <w:t>primitiva farkoster med vilka de försökte ta sig ut till havs. Dessa försök resulterade i många öd</w:t>
      </w:r>
      <w:r>
        <w:rPr>
          <w:lang w:val="sv-FI"/>
        </w:rPr>
        <w:t xml:space="preserve">esdigra skeppsbrott utanför de </w:t>
      </w:r>
      <w:proofErr w:type="spellStart"/>
      <w:r>
        <w:rPr>
          <w:lang w:val="sv-FI"/>
        </w:rPr>
        <w:t>Al</w:t>
      </w:r>
      <w:r w:rsidR="000B4CEB">
        <w:rPr>
          <w:lang w:val="sv-FI"/>
        </w:rPr>
        <w:t>eutiska</w:t>
      </w:r>
      <w:proofErr w:type="spellEnd"/>
      <w:r w:rsidR="000B4CEB">
        <w:rPr>
          <w:lang w:val="sv-FI"/>
        </w:rPr>
        <w:t xml:space="preserve"> öarna. 1743 lyckades emellertid en grupp p</w:t>
      </w:r>
      <w:r>
        <w:rPr>
          <w:lang w:val="sv-FI"/>
        </w:rPr>
        <w:t xml:space="preserve">å sex pälsjägare återvända </w:t>
      </w:r>
      <w:r w:rsidR="000B4CEB">
        <w:rPr>
          <w:lang w:val="sv-FI"/>
        </w:rPr>
        <w:t xml:space="preserve">med 1600 havsutterskinn. Den ryska regeringen gjorde anspråk på detta nyfunna område, men brydde sig inte om att uppföra kolonier i Amerika utan nöjde sig med att beskatta </w:t>
      </w:r>
      <w:proofErr w:type="spellStart"/>
      <w:r w:rsidR="000B4CEB">
        <w:rPr>
          <w:i/>
          <w:lang w:val="sv-FI"/>
        </w:rPr>
        <w:t>promyslenniki</w:t>
      </w:r>
      <w:proofErr w:type="spellEnd"/>
      <w:r w:rsidR="000B4CEB">
        <w:rPr>
          <w:lang w:val="sv-FI"/>
        </w:rPr>
        <w:t xml:space="preserve"> då de återvände från sina expeditioner. Följden blev ett kaos i vilket urbefolkningen i Alaska lämnades vind för våg utsatta för pälsjägarnas härjanden.</w:t>
      </w:r>
      <w:r w:rsidR="000B4CEB">
        <w:rPr>
          <w:rStyle w:val="FootnoteReference"/>
          <w:lang w:val="sv-FI"/>
        </w:rPr>
        <w:footnoteReference w:id="2"/>
      </w:r>
    </w:p>
    <w:p w:rsidR="000B4CEB" w:rsidRDefault="000B4CEB" w:rsidP="00E2135B">
      <w:pPr>
        <w:spacing w:line="360" w:lineRule="auto"/>
        <w:ind w:left="1418"/>
        <w:rPr>
          <w:lang w:val="sv-FI"/>
        </w:rPr>
      </w:pPr>
      <w:r>
        <w:rPr>
          <w:lang w:val="sv-FI"/>
        </w:rPr>
        <w:t xml:space="preserve">Den ryska expansionen i Alaska företogs i tre skeden. Under det första etablerade sig mindre grupper av jägare och handlande på öarna utanför Alaskas kust. I det andra skedet ersattes de små självständiga grupperna av större kommersiella bolag som formades av handlande i Okhotsk och Kamchatka kring 1765. I det sista skedet övertog det Rysk-amerikanska kompaniet med den ryska kejsarens välsignelse all handel i </w:t>
      </w:r>
      <w:proofErr w:type="gramStart"/>
      <w:r>
        <w:rPr>
          <w:lang w:val="sv-FI"/>
        </w:rPr>
        <w:t>Alaska  fr</w:t>
      </w:r>
      <w:proofErr w:type="gramEnd"/>
      <w:r>
        <w:rPr>
          <w:lang w:val="sv-FI"/>
        </w:rPr>
        <w:t>.o.m. 1799.</w:t>
      </w:r>
      <w:r w:rsidR="00E2135B" w:rsidRPr="00E2135B">
        <w:rPr>
          <w:noProof/>
          <w:sz w:val="20"/>
          <w:lang w:val="sv-FI" w:eastAsia="fi-FI"/>
        </w:rPr>
        <w:t xml:space="preserve"> </w:t>
      </w:r>
    </w:p>
    <w:p w:rsidR="000B4CEB" w:rsidRDefault="000B4CEB" w:rsidP="000B4CEB">
      <w:pPr>
        <w:spacing w:line="360" w:lineRule="auto"/>
        <w:ind w:left="1418" w:firstLine="382"/>
        <w:rPr>
          <w:lang w:val="sv-FI"/>
        </w:rPr>
      </w:pPr>
      <w:r>
        <w:rPr>
          <w:lang w:val="sv-FI"/>
        </w:rPr>
        <w:t>Den taktik som ryssarna använde sig av i Alaska var redan väl beprövad under deras framfart genom Sibirien och den baserade sig på hänsynslöst utnyttjande och terroriser</w:t>
      </w:r>
      <w:r w:rsidR="00E2135B">
        <w:rPr>
          <w:lang w:val="sv-FI"/>
        </w:rPr>
        <w:t xml:space="preserve">ing av den lokala befolkningen. </w:t>
      </w:r>
      <w:r>
        <w:rPr>
          <w:lang w:val="sv-FI"/>
        </w:rPr>
        <w:t xml:space="preserve">Ryssarna använde tvångsmetoder för att få ursprungsbefolkningen att följa deras vilja. Ursprungsbefolkningen i Alaska tvingades uthärda stora orättvisor under alla tre skeden av den ryska expansionen, av vilka det första skedet var det värsta och mest brutala. </w:t>
      </w:r>
    </w:p>
    <w:p w:rsidR="000B4CEB" w:rsidRDefault="000B4CEB" w:rsidP="000B4CEB">
      <w:pPr>
        <w:spacing w:line="360" w:lineRule="auto"/>
        <w:ind w:left="1418"/>
        <w:rPr>
          <w:lang w:val="sv-FI"/>
        </w:rPr>
      </w:pPr>
      <w:r>
        <w:rPr>
          <w:lang w:val="sv-FI"/>
        </w:rPr>
        <w:t xml:space="preserve">Efter några års operativa erfarenheter utformade </w:t>
      </w:r>
      <w:proofErr w:type="spellStart"/>
      <w:r>
        <w:rPr>
          <w:i/>
          <w:lang w:val="sv-FI"/>
        </w:rPr>
        <w:t>promyslenniki</w:t>
      </w:r>
      <w:proofErr w:type="spellEnd"/>
      <w:r>
        <w:rPr>
          <w:lang w:val="sv-FI"/>
        </w:rPr>
        <w:t xml:space="preserve"> en fungerande strategi för att uppbära skinn från </w:t>
      </w:r>
      <w:proofErr w:type="spellStart"/>
      <w:r>
        <w:rPr>
          <w:lang w:val="sv-FI"/>
        </w:rPr>
        <w:t>aleuterna</w:t>
      </w:r>
      <w:proofErr w:type="spellEnd"/>
      <w:r>
        <w:rPr>
          <w:lang w:val="sv-FI"/>
        </w:rPr>
        <w:t xml:space="preserve">. Strategin gick ut på att man under sommaren anlände till </w:t>
      </w:r>
      <w:proofErr w:type="spellStart"/>
      <w:r>
        <w:rPr>
          <w:lang w:val="sv-FI"/>
        </w:rPr>
        <w:t>aleutiska</w:t>
      </w:r>
      <w:proofErr w:type="spellEnd"/>
      <w:r>
        <w:rPr>
          <w:lang w:val="sv-FI"/>
        </w:rPr>
        <w:t xml:space="preserve"> bosättningar och tog gisslan, i flesta fall kvinnor och döttrar till byns mest ansedda män. De </w:t>
      </w:r>
      <w:proofErr w:type="spellStart"/>
      <w:r>
        <w:rPr>
          <w:lang w:val="sv-FI"/>
        </w:rPr>
        <w:t>aleutiska</w:t>
      </w:r>
      <w:proofErr w:type="spellEnd"/>
      <w:r>
        <w:rPr>
          <w:lang w:val="sv-FI"/>
        </w:rPr>
        <w:t xml:space="preserve"> männen utrustades med rävsaxar och tvingandes fånga pälsar åt</w:t>
      </w:r>
      <w:r>
        <w:rPr>
          <w:i/>
          <w:lang w:val="sv-FI"/>
        </w:rPr>
        <w:t xml:space="preserve"> </w:t>
      </w:r>
      <w:proofErr w:type="spellStart"/>
      <w:r>
        <w:rPr>
          <w:i/>
          <w:lang w:val="sv-FI"/>
        </w:rPr>
        <w:t>promyslenniki</w:t>
      </w:r>
      <w:proofErr w:type="spellEnd"/>
      <w:r>
        <w:rPr>
          <w:lang w:val="sv-FI"/>
        </w:rPr>
        <w:t xml:space="preserve"> under vintern, samtidigt som</w:t>
      </w:r>
      <w:r w:rsidR="002D75F3">
        <w:rPr>
          <w:lang w:val="sv-FI"/>
        </w:rPr>
        <w:t xml:space="preserve"> ryssarna övervintrade</w:t>
      </w:r>
      <w:r>
        <w:rPr>
          <w:lang w:val="sv-FI"/>
        </w:rPr>
        <w:t xml:space="preserve"> i de manstomma byarna med ett harem av </w:t>
      </w:r>
      <w:proofErr w:type="spellStart"/>
      <w:r>
        <w:rPr>
          <w:lang w:val="sv-FI"/>
        </w:rPr>
        <w:t>aleutkvinnor</w:t>
      </w:r>
      <w:proofErr w:type="spellEnd"/>
      <w:r>
        <w:rPr>
          <w:lang w:val="sv-FI"/>
        </w:rPr>
        <w:t xml:space="preserve">. Ifall männen inte återvände med tillräckligt många pälsar till följande vår kunde de straffas med döden. När </w:t>
      </w:r>
      <w:proofErr w:type="spellStart"/>
      <w:r>
        <w:rPr>
          <w:i/>
          <w:lang w:val="sv-FI"/>
        </w:rPr>
        <w:t>promyslenniki</w:t>
      </w:r>
      <w:proofErr w:type="spellEnd"/>
      <w:r>
        <w:rPr>
          <w:lang w:val="sv-FI"/>
        </w:rPr>
        <w:t xml:space="preserve"> ansåg att de vistats tillräckligt länge i en by insamlade de sina rävsaxarna från </w:t>
      </w:r>
      <w:proofErr w:type="spellStart"/>
      <w:r>
        <w:rPr>
          <w:lang w:val="sv-FI"/>
        </w:rPr>
        <w:t>aleuterna</w:t>
      </w:r>
      <w:proofErr w:type="spellEnd"/>
      <w:r>
        <w:rPr>
          <w:lang w:val="sv-FI"/>
        </w:rPr>
        <w:t xml:space="preserve"> och till kvinnorna utdelades några glaspärlor som tack för vinterns tjänster, varefter ryssarna återvände till Kamtjatka. Nästa år upprepades proceduren igen.</w:t>
      </w:r>
      <w:r>
        <w:rPr>
          <w:rStyle w:val="FootnoteReference"/>
          <w:lang w:val="sv-FI"/>
        </w:rPr>
        <w:footnoteReference w:id="3"/>
      </w:r>
      <w:r>
        <w:rPr>
          <w:lang w:val="sv-FI"/>
        </w:rPr>
        <w:t xml:space="preserve"> </w:t>
      </w:r>
    </w:p>
    <w:p w:rsidR="000B4CEB" w:rsidRDefault="000B4CEB" w:rsidP="002D75F3">
      <w:pPr>
        <w:spacing w:line="360" w:lineRule="auto"/>
        <w:ind w:left="1418"/>
        <w:rPr>
          <w:lang w:val="sv-FI"/>
        </w:rPr>
      </w:pPr>
      <w:r>
        <w:rPr>
          <w:lang w:val="sv-FI"/>
        </w:rPr>
        <w:t xml:space="preserve">Ryssarnas skjutvapen var till en början effektiva maktmedel att terrorisera </w:t>
      </w:r>
      <w:proofErr w:type="spellStart"/>
      <w:r>
        <w:rPr>
          <w:lang w:val="sv-FI"/>
        </w:rPr>
        <w:t>aleuterna</w:t>
      </w:r>
      <w:proofErr w:type="spellEnd"/>
      <w:r>
        <w:rPr>
          <w:lang w:val="sv-FI"/>
        </w:rPr>
        <w:t xml:space="preserve"> med. Efter en tid försvann dock </w:t>
      </w:r>
      <w:proofErr w:type="spellStart"/>
      <w:r>
        <w:rPr>
          <w:lang w:val="sv-FI"/>
        </w:rPr>
        <w:t>aleuternas</w:t>
      </w:r>
      <w:proofErr w:type="spellEnd"/>
      <w:r>
        <w:rPr>
          <w:lang w:val="sv-FI"/>
        </w:rPr>
        <w:t xml:space="preserve"> rädsla för skjutvapnen och ryssarna blev tvungna att </w:t>
      </w:r>
      <w:r>
        <w:rPr>
          <w:lang w:val="sv-FI"/>
        </w:rPr>
        <w:lastRenderedPageBreak/>
        <w:t xml:space="preserve">vidta grymmare åtgärder. </w:t>
      </w:r>
      <w:proofErr w:type="spellStart"/>
      <w:r>
        <w:rPr>
          <w:lang w:val="sv-FI"/>
        </w:rPr>
        <w:t>Osamarbetsvilliga</w:t>
      </w:r>
      <w:proofErr w:type="spellEnd"/>
      <w:r>
        <w:rPr>
          <w:lang w:val="sv-FI"/>
        </w:rPr>
        <w:t xml:space="preserve"> </w:t>
      </w:r>
      <w:proofErr w:type="spellStart"/>
      <w:r>
        <w:rPr>
          <w:lang w:val="sv-FI"/>
        </w:rPr>
        <w:t>aleuter</w:t>
      </w:r>
      <w:proofErr w:type="spellEnd"/>
      <w:r>
        <w:rPr>
          <w:lang w:val="sv-FI"/>
        </w:rPr>
        <w:t xml:space="preserve"> torterades och dödades, bevisligen miste femton </w:t>
      </w:r>
      <w:proofErr w:type="spellStart"/>
      <w:r>
        <w:rPr>
          <w:lang w:val="sv-FI"/>
        </w:rPr>
        <w:t>aleuter</w:t>
      </w:r>
      <w:proofErr w:type="spellEnd"/>
      <w:r>
        <w:rPr>
          <w:lang w:val="sv-FI"/>
        </w:rPr>
        <w:t xml:space="preserve"> livet under en offentlig avrättning på ön Attu 1745.</w:t>
      </w:r>
      <w:r>
        <w:rPr>
          <w:rStyle w:val="FootnoteReference"/>
          <w:lang w:val="sv-FI"/>
        </w:rPr>
        <w:footnoteReference w:id="4"/>
      </w:r>
    </w:p>
    <w:p w:rsidR="000B4CEB" w:rsidRDefault="000B4CEB" w:rsidP="002D75F3">
      <w:pPr>
        <w:spacing w:line="360" w:lineRule="auto"/>
        <w:ind w:left="1418"/>
        <w:rPr>
          <w:lang w:val="sv-FI"/>
        </w:rPr>
      </w:pPr>
      <w:r>
        <w:rPr>
          <w:lang w:val="sv-FI"/>
        </w:rPr>
        <w:t xml:space="preserve">Ryssarnas våldsamma beteende gentemot </w:t>
      </w:r>
      <w:proofErr w:type="spellStart"/>
      <w:r>
        <w:rPr>
          <w:lang w:val="sv-FI"/>
        </w:rPr>
        <w:t>aleuterna</w:t>
      </w:r>
      <w:proofErr w:type="spellEnd"/>
      <w:r>
        <w:rPr>
          <w:lang w:val="sv-FI"/>
        </w:rPr>
        <w:t xml:space="preserve"> eskalerade i takt med att pälsdjursbeståndet rasade i området. 1761 formade </w:t>
      </w:r>
      <w:r w:rsidR="002D75F3">
        <w:rPr>
          <w:lang w:val="sv-FI"/>
        </w:rPr>
        <w:t xml:space="preserve">befolkningen på Kodiak tillsammans med </w:t>
      </w:r>
      <w:proofErr w:type="spellStart"/>
      <w:r>
        <w:rPr>
          <w:lang w:val="sv-FI"/>
        </w:rPr>
        <w:t>aleuterna</w:t>
      </w:r>
      <w:proofErr w:type="spellEnd"/>
      <w:r>
        <w:rPr>
          <w:lang w:val="sv-FI"/>
        </w:rPr>
        <w:t xml:space="preserve"> på </w:t>
      </w:r>
      <w:proofErr w:type="spellStart"/>
      <w:r>
        <w:rPr>
          <w:lang w:val="sv-FI"/>
        </w:rPr>
        <w:t>Umnak</w:t>
      </w:r>
      <w:proofErr w:type="spellEnd"/>
      <w:r w:rsidR="002D75F3">
        <w:rPr>
          <w:lang w:val="sv-FI"/>
        </w:rPr>
        <w:t xml:space="preserve"> och Unalaska</w:t>
      </w:r>
      <w:r>
        <w:rPr>
          <w:lang w:val="sv-FI"/>
        </w:rPr>
        <w:t xml:space="preserve"> en allians i ett försök att bli kvitt det rys</w:t>
      </w:r>
      <w:r w:rsidR="002D75F3">
        <w:rPr>
          <w:lang w:val="sv-FI"/>
        </w:rPr>
        <w:t>ka gisslet. Följande år anfölls ryssar</w:t>
      </w:r>
      <w:r>
        <w:rPr>
          <w:lang w:val="sv-FI"/>
        </w:rPr>
        <w:t xml:space="preserve"> på </w:t>
      </w:r>
      <w:proofErr w:type="spellStart"/>
      <w:r>
        <w:rPr>
          <w:lang w:val="sv-FI"/>
        </w:rPr>
        <w:t>Umnak</w:t>
      </w:r>
      <w:proofErr w:type="spellEnd"/>
      <w:r>
        <w:rPr>
          <w:lang w:val="sv-FI"/>
        </w:rPr>
        <w:t xml:space="preserve"> och ytterst få av dem lyckades undkomma med livet i behåll. Incidenten utlöste en organiserad motståndsrörelse bland urbefolkningen och</w:t>
      </w:r>
      <w:r w:rsidR="002D75F3">
        <w:rPr>
          <w:lang w:val="sv-FI"/>
        </w:rPr>
        <w:t xml:space="preserve"> mellan åren 1762-1766 var inga ryssar </w:t>
      </w:r>
      <w:r>
        <w:rPr>
          <w:lang w:val="sv-FI"/>
        </w:rPr>
        <w:t>i Nordamerika utom fara. Aleuterna ordnade bakhåll i vilka de kapade ryssarnas handelsvaror och brände deras skepp.</w:t>
      </w:r>
      <w:r>
        <w:rPr>
          <w:rStyle w:val="FootnoteReference"/>
          <w:lang w:val="sv-FI"/>
        </w:rPr>
        <w:footnoteReference w:id="5"/>
      </w:r>
      <w:r>
        <w:rPr>
          <w:lang w:val="sv-FI"/>
        </w:rPr>
        <w:t xml:space="preserve"> </w:t>
      </w:r>
    </w:p>
    <w:p w:rsidR="000B4CEB" w:rsidRDefault="000B4CEB" w:rsidP="000B4CEB">
      <w:pPr>
        <w:spacing w:line="360" w:lineRule="auto"/>
        <w:ind w:left="1418" w:firstLine="382"/>
        <w:rPr>
          <w:lang w:val="sv-FI"/>
        </w:rPr>
      </w:pPr>
      <w:r>
        <w:rPr>
          <w:lang w:val="sv-FI"/>
        </w:rPr>
        <w:t xml:space="preserve">Ursprungsbefolkningens triumf varade endast i några få år. En ledande handelsman från Okhotsk, Ivan </w:t>
      </w:r>
      <w:proofErr w:type="spellStart"/>
      <w:r>
        <w:rPr>
          <w:lang w:val="sv-FI"/>
        </w:rPr>
        <w:t>Solovief</w:t>
      </w:r>
      <w:proofErr w:type="spellEnd"/>
      <w:r>
        <w:rPr>
          <w:lang w:val="sv-FI"/>
        </w:rPr>
        <w:t xml:space="preserve">, utrustade en liten armada med flera hundra hämndlystna </w:t>
      </w:r>
      <w:proofErr w:type="spellStart"/>
      <w:r>
        <w:rPr>
          <w:i/>
          <w:lang w:val="sv-FI"/>
        </w:rPr>
        <w:t>promyslenniki</w:t>
      </w:r>
      <w:proofErr w:type="spellEnd"/>
      <w:r>
        <w:rPr>
          <w:lang w:val="sv-FI"/>
        </w:rPr>
        <w:t xml:space="preserve"> och här</w:t>
      </w:r>
      <w:r w:rsidR="002D75F3">
        <w:rPr>
          <w:lang w:val="sv-FI"/>
        </w:rPr>
        <w:t xml:space="preserve">jade systematiskt längs med de </w:t>
      </w:r>
      <w:proofErr w:type="spellStart"/>
      <w:r w:rsidR="002D75F3">
        <w:rPr>
          <w:lang w:val="sv-FI"/>
        </w:rPr>
        <w:t>Aleutiska</w:t>
      </w:r>
      <w:proofErr w:type="spellEnd"/>
      <w:r w:rsidR="002D75F3">
        <w:rPr>
          <w:lang w:val="sv-FI"/>
        </w:rPr>
        <w:t xml:space="preserve"> öarna</w:t>
      </w:r>
      <w:r>
        <w:rPr>
          <w:lang w:val="sv-FI"/>
        </w:rPr>
        <w:t xml:space="preserve">. Ryssarnas framfart var systematisk och grym, varje ö finkammades och påträffade </w:t>
      </w:r>
      <w:proofErr w:type="spellStart"/>
      <w:r>
        <w:rPr>
          <w:lang w:val="sv-FI"/>
        </w:rPr>
        <w:t>aleuter</w:t>
      </w:r>
      <w:proofErr w:type="spellEnd"/>
      <w:r>
        <w:rPr>
          <w:lang w:val="sv-FI"/>
        </w:rPr>
        <w:t xml:space="preserve"> dödades, endast unga kvinnor tilläts leva som konkubiner till </w:t>
      </w:r>
      <w:proofErr w:type="spellStart"/>
      <w:r>
        <w:rPr>
          <w:i/>
          <w:lang w:val="sv-FI"/>
        </w:rPr>
        <w:t>promyslenniki</w:t>
      </w:r>
      <w:proofErr w:type="spellEnd"/>
      <w:r>
        <w:rPr>
          <w:lang w:val="sv-FI"/>
        </w:rPr>
        <w:t xml:space="preserve">. </w:t>
      </w:r>
      <w:proofErr w:type="spellStart"/>
      <w:r>
        <w:rPr>
          <w:lang w:val="sv-FI"/>
        </w:rPr>
        <w:t>Soloviefs</w:t>
      </w:r>
      <w:proofErr w:type="spellEnd"/>
      <w:r>
        <w:rPr>
          <w:lang w:val="sv-FI"/>
        </w:rPr>
        <w:t xml:space="preserve"> straffexpedition var framgångsrik i sin grymhet och den gjorde slut på </w:t>
      </w:r>
      <w:proofErr w:type="spellStart"/>
      <w:r>
        <w:rPr>
          <w:lang w:val="sv-FI"/>
        </w:rPr>
        <w:t>aleuternas</w:t>
      </w:r>
      <w:proofErr w:type="spellEnd"/>
      <w:r>
        <w:rPr>
          <w:lang w:val="sv-FI"/>
        </w:rPr>
        <w:t xml:space="preserve"> vilja för fortsatt motstånd.</w:t>
      </w:r>
      <w:r>
        <w:rPr>
          <w:rStyle w:val="FootnoteReference"/>
          <w:lang w:val="sv-FI"/>
        </w:rPr>
        <w:footnoteReference w:id="6"/>
      </w:r>
    </w:p>
    <w:p w:rsidR="000B4CEB" w:rsidRDefault="000B4CEB" w:rsidP="000B4CEB">
      <w:pPr>
        <w:spacing w:line="360" w:lineRule="auto"/>
        <w:ind w:left="1418" w:firstLine="382"/>
        <w:rPr>
          <w:lang w:val="sv-FI"/>
        </w:rPr>
      </w:pPr>
      <w:r>
        <w:rPr>
          <w:lang w:val="sv-FI"/>
        </w:rPr>
        <w:t xml:space="preserve">En total utrotning av </w:t>
      </w:r>
      <w:proofErr w:type="spellStart"/>
      <w:r>
        <w:rPr>
          <w:lang w:val="sv-FI"/>
        </w:rPr>
        <w:t>aleuterna</w:t>
      </w:r>
      <w:proofErr w:type="spellEnd"/>
      <w:r>
        <w:rPr>
          <w:lang w:val="sv-FI"/>
        </w:rPr>
        <w:t xml:space="preserve"> var dock aldrig ryssarnas målsättning, </w:t>
      </w:r>
      <w:proofErr w:type="spellStart"/>
      <w:r>
        <w:rPr>
          <w:i/>
          <w:lang w:val="sv-FI"/>
        </w:rPr>
        <w:t>promyslenniki</w:t>
      </w:r>
      <w:proofErr w:type="spellEnd"/>
      <w:r>
        <w:rPr>
          <w:lang w:val="sv-FI"/>
        </w:rPr>
        <w:t xml:space="preserve"> var beroende av </w:t>
      </w:r>
      <w:proofErr w:type="spellStart"/>
      <w:r>
        <w:rPr>
          <w:lang w:val="sv-FI"/>
        </w:rPr>
        <w:t>aleuternas</w:t>
      </w:r>
      <w:proofErr w:type="spellEnd"/>
      <w:r>
        <w:rPr>
          <w:lang w:val="sv-FI"/>
        </w:rPr>
        <w:t xml:space="preserve"> goda förmåga att jaga och bereda skinn, speciellt då ammunitionen ansågs dyr och </w:t>
      </w:r>
      <w:proofErr w:type="spellStart"/>
      <w:r>
        <w:rPr>
          <w:lang w:val="sv-FI"/>
        </w:rPr>
        <w:t>aleuternas</w:t>
      </w:r>
      <w:proofErr w:type="spellEnd"/>
      <w:r>
        <w:rPr>
          <w:lang w:val="sv-FI"/>
        </w:rPr>
        <w:t xml:space="preserve"> traditionella jaktredskap var bättre lämpade för jakten på havsutter. En stor </w:t>
      </w:r>
      <w:proofErr w:type="spellStart"/>
      <w:r>
        <w:rPr>
          <w:lang w:val="sv-FI"/>
        </w:rPr>
        <w:t>aleutpopulation</w:t>
      </w:r>
      <w:proofErr w:type="spellEnd"/>
      <w:r>
        <w:rPr>
          <w:lang w:val="sv-FI"/>
        </w:rPr>
        <w:t xml:space="preserve"> ansågs vara ett hot och därefter formulerades en medveten politik som eftersträvade en låg och lättare kontrollerad populationsnivå. Ryssarna lyckades dåligt med att skaffa sig skinn genom handel eftersom befolkningen längs med Alaskas kust snabbt insåg att de ryska handelsvarorna ofta var av sämre kvalitet än de varor man fick av konkurrerande engelska och amerikanska handelskompanier. Det var lättare för ryssarna att själva jaga pälsdjuren eller att anlita de helt kuvade </w:t>
      </w:r>
      <w:proofErr w:type="spellStart"/>
      <w:r>
        <w:rPr>
          <w:lang w:val="sv-FI"/>
        </w:rPr>
        <w:t>aleuterna</w:t>
      </w:r>
      <w:proofErr w:type="spellEnd"/>
      <w:r>
        <w:rPr>
          <w:lang w:val="sv-FI"/>
        </w:rPr>
        <w:t xml:space="preserve"> att jaga för dem. Varje vår samlade ryska handelsmän ihop </w:t>
      </w:r>
      <w:proofErr w:type="spellStart"/>
      <w:r>
        <w:rPr>
          <w:lang w:val="sv-FI"/>
        </w:rPr>
        <w:t>aleuter</w:t>
      </w:r>
      <w:proofErr w:type="spellEnd"/>
      <w:r>
        <w:rPr>
          <w:lang w:val="sv-FI"/>
        </w:rPr>
        <w:t xml:space="preserve"> och transporterade dessa till nya jaktmarker österut. </w:t>
      </w:r>
    </w:p>
    <w:p w:rsidR="00054193" w:rsidRDefault="000B4CEB" w:rsidP="00054193">
      <w:pPr>
        <w:spacing w:line="360" w:lineRule="auto"/>
        <w:ind w:left="1418" w:firstLine="382"/>
        <w:rPr>
          <w:lang w:val="sv-FI"/>
        </w:rPr>
      </w:pPr>
      <w:r>
        <w:rPr>
          <w:lang w:val="sv-FI"/>
        </w:rPr>
        <w:t xml:space="preserve">Varje </w:t>
      </w:r>
      <w:proofErr w:type="spellStart"/>
      <w:r>
        <w:rPr>
          <w:i/>
          <w:lang w:val="sv-FI"/>
        </w:rPr>
        <w:t>promyslenniki</w:t>
      </w:r>
      <w:proofErr w:type="spellEnd"/>
      <w:r>
        <w:rPr>
          <w:lang w:val="sv-FI"/>
        </w:rPr>
        <w:t xml:space="preserve">-förman tog kommandot över c. 20-50 </w:t>
      </w:r>
      <w:proofErr w:type="spellStart"/>
      <w:r>
        <w:rPr>
          <w:lang w:val="sv-FI"/>
        </w:rPr>
        <w:t>aleuter</w:t>
      </w:r>
      <w:proofErr w:type="spellEnd"/>
      <w:r>
        <w:rPr>
          <w:lang w:val="sv-FI"/>
        </w:rPr>
        <w:t xml:space="preserve"> i sin</w:t>
      </w:r>
      <w:r w:rsidR="002D75F3">
        <w:rPr>
          <w:lang w:val="sv-FI"/>
        </w:rPr>
        <w:t xml:space="preserve">a skinnklädda tvåmanskajaker, så kallade </w:t>
      </w:r>
      <w:proofErr w:type="spellStart"/>
      <w:r w:rsidR="002D75F3" w:rsidRPr="002D75F3">
        <w:rPr>
          <w:i/>
          <w:lang w:val="sv-FI"/>
        </w:rPr>
        <w:t>bai</w:t>
      </w:r>
      <w:r w:rsidRPr="002D75F3">
        <w:rPr>
          <w:i/>
          <w:lang w:val="sv-FI"/>
        </w:rPr>
        <w:t>darkas</w:t>
      </w:r>
      <w:proofErr w:type="spellEnd"/>
      <w:r w:rsidR="002D75F3">
        <w:rPr>
          <w:lang w:val="sv-FI"/>
        </w:rPr>
        <w:t>,</w:t>
      </w:r>
      <w:r>
        <w:rPr>
          <w:lang w:val="sv-FI"/>
        </w:rPr>
        <w:t xml:space="preserve"> för att jaga med dem under en säsong i Alaskas skärgård. Aleuterna arbetade på provision, men i praktiken gick allt åt för att betala de dyra matvarorna som de var tvungna att handla av ryssarna eftersom de nekades tid att fiska </w:t>
      </w:r>
      <w:r>
        <w:rPr>
          <w:lang w:val="sv-FI"/>
        </w:rPr>
        <w:lastRenderedPageBreak/>
        <w:t xml:space="preserve">eller jaga den mat de behövde. I praktiken ledde detta ekonomiska samarbete till att </w:t>
      </w:r>
      <w:proofErr w:type="spellStart"/>
      <w:r>
        <w:rPr>
          <w:lang w:val="sv-FI"/>
        </w:rPr>
        <w:t>aleuterna</w:t>
      </w:r>
      <w:proofErr w:type="spellEnd"/>
      <w:r>
        <w:rPr>
          <w:lang w:val="sv-FI"/>
        </w:rPr>
        <w:t xml:space="preserve"> förslavades helt.</w:t>
      </w:r>
      <w:r>
        <w:rPr>
          <w:rStyle w:val="FootnoteReference"/>
          <w:lang w:val="sv-FI"/>
        </w:rPr>
        <w:footnoteReference w:id="7"/>
      </w:r>
    </w:p>
    <w:p w:rsidR="00054193" w:rsidRPr="00054193" w:rsidRDefault="00054193" w:rsidP="00054193">
      <w:pPr>
        <w:spacing w:line="360" w:lineRule="auto"/>
        <w:ind w:left="1418" w:firstLine="382"/>
        <w:rPr>
          <w:b/>
          <w:lang w:val="sv-FI"/>
        </w:rPr>
      </w:pPr>
      <w:r w:rsidRPr="00054193">
        <w:rPr>
          <w:b/>
          <w:lang w:val="sv-FI"/>
        </w:rPr>
        <w:t xml:space="preserve">Ryska-amerikanska kompaniet och </w:t>
      </w:r>
      <w:proofErr w:type="spellStart"/>
      <w:r w:rsidRPr="00054193">
        <w:rPr>
          <w:b/>
          <w:lang w:val="sv-FI"/>
        </w:rPr>
        <w:t>Sitka</w:t>
      </w:r>
      <w:proofErr w:type="spellEnd"/>
      <w:r w:rsidRPr="00054193">
        <w:rPr>
          <w:b/>
          <w:lang w:val="sv-FI"/>
        </w:rPr>
        <w:t xml:space="preserve">. </w:t>
      </w:r>
    </w:p>
    <w:p w:rsidR="00054193" w:rsidRDefault="00054193" w:rsidP="00054193">
      <w:pPr>
        <w:spacing w:line="360" w:lineRule="auto"/>
        <w:ind w:left="1418" w:firstLine="382"/>
        <w:rPr>
          <w:lang w:val="sv-FI"/>
        </w:rPr>
      </w:pPr>
      <w:r>
        <w:rPr>
          <w:lang w:val="sv-FI"/>
        </w:rPr>
        <w:t xml:space="preserve">Under det sena 1770-talet kom entreprenören Gregory </w:t>
      </w:r>
      <w:proofErr w:type="spellStart"/>
      <w:r>
        <w:rPr>
          <w:lang w:val="sv-FI"/>
        </w:rPr>
        <w:t>Shelikov</w:t>
      </w:r>
      <w:proofErr w:type="spellEnd"/>
      <w:r>
        <w:rPr>
          <w:lang w:val="sv-FI"/>
        </w:rPr>
        <w:t xml:space="preserve"> att dominera pälshandeln i ryska Amerika och därmed livet för tusentals infödda. </w:t>
      </w:r>
      <w:proofErr w:type="spellStart"/>
      <w:r>
        <w:rPr>
          <w:lang w:val="sv-FI"/>
        </w:rPr>
        <w:t>Shelikov</w:t>
      </w:r>
      <w:proofErr w:type="spellEnd"/>
      <w:r>
        <w:rPr>
          <w:lang w:val="sv-FI"/>
        </w:rPr>
        <w:t xml:space="preserve"> kom att ytterligare maximera exploateringen av ursprungsbefolkningen och naturresurserna i Alaska för kommersiella syften. På ön Kodiak etablerade </w:t>
      </w:r>
      <w:proofErr w:type="spellStart"/>
      <w:r>
        <w:rPr>
          <w:lang w:val="sv-FI"/>
        </w:rPr>
        <w:t>Shelikov</w:t>
      </w:r>
      <w:proofErr w:type="spellEnd"/>
      <w:r>
        <w:rPr>
          <w:lang w:val="sv-FI"/>
        </w:rPr>
        <w:t xml:space="preserve"> den första permanenta ryska bosättningen i Amerika och ön kom snart att bli centrum för den kommersiella aktiviteten i området. </w:t>
      </w:r>
      <w:proofErr w:type="spellStart"/>
      <w:r>
        <w:rPr>
          <w:lang w:val="sv-FI"/>
        </w:rPr>
        <w:t>Shelikov</w:t>
      </w:r>
      <w:proofErr w:type="spellEnd"/>
      <w:r>
        <w:rPr>
          <w:lang w:val="sv-FI"/>
        </w:rPr>
        <w:t xml:space="preserve"> sammanförde omkring fyrtio mindre handelslag till ett stort rysk-amerikansk handelskompani. Alexander </w:t>
      </w:r>
      <w:proofErr w:type="spellStart"/>
      <w:r>
        <w:rPr>
          <w:lang w:val="sv-FI"/>
        </w:rPr>
        <w:t>Baranov</w:t>
      </w:r>
      <w:proofErr w:type="spellEnd"/>
      <w:r>
        <w:rPr>
          <w:lang w:val="sv-FI"/>
        </w:rPr>
        <w:t xml:space="preserve"> utsågs till ledare för det handelskompani som </w:t>
      </w:r>
      <w:proofErr w:type="spellStart"/>
      <w:r>
        <w:rPr>
          <w:lang w:val="sv-FI"/>
        </w:rPr>
        <w:t>Shelikov</w:t>
      </w:r>
      <w:proofErr w:type="spellEnd"/>
      <w:r>
        <w:rPr>
          <w:lang w:val="sv-FI"/>
        </w:rPr>
        <w:t xml:space="preserve"> hade skapat.</w:t>
      </w:r>
    </w:p>
    <w:p w:rsidR="00054193" w:rsidRDefault="00054193" w:rsidP="00054193">
      <w:pPr>
        <w:spacing w:line="360" w:lineRule="auto"/>
        <w:ind w:left="1418" w:firstLine="22"/>
        <w:rPr>
          <w:lang w:val="sv-FI"/>
        </w:rPr>
      </w:pPr>
      <w:proofErr w:type="spellStart"/>
      <w:r>
        <w:rPr>
          <w:lang w:val="sv-FI"/>
        </w:rPr>
        <w:t>Shelikov</w:t>
      </w:r>
      <w:proofErr w:type="spellEnd"/>
      <w:r>
        <w:rPr>
          <w:lang w:val="sv-FI"/>
        </w:rPr>
        <w:t xml:space="preserve"> den första permanenta ryska bosättningen i Amerika och ön kom snart att bli centrum för den kommersiella aktiviteten i området. </w:t>
      </w:r>
      <w:proofErr w:type="spellStart"/>
      <w:r>
        <w:rPr>
          <w:lang w:val="sv-FI"/>
        </w:rPr>
        <w:t>Shelikov</w:t>
      </w:r>
      <w:proofErr w:type="spellEnd"/>
      <w:r>
        <w:rPr>
          <w:lang w:val="sv-FI"/>
        </w:rPr>
        <w:t xml:space="preserve"> sammanförde omkring fyrtio mindre handelslag till ett stort rysk-amerikansk handelskompani. Alexander </w:t>
      </w:r>
      <w:proofErr w:type="spellStart"/>
      <w:r>
        <w:rPr>
          <w:lang w:val="sv-FI"/>
        </w:rPr>
        <w:t>Baranov</w:t>
      </w:r>
      <w:proofErr w:type="spellEnd"/>
      <w:r>
        <w:rPr>
          <w:lang w:val="sv-FI"/>
        </w:rPr>
        <w:t xml:space="preserve"> utsågs till ledare för det handelskompani som </w:t>
      </w:r>
      <w:proofErr w:type="spellStart"/>
      <w:r>
        <w:rPr>
          <w:lang w:val="sv-FI"/>
        </w:rPr>
        <w:t>Shelikov</w:t>
      </w:r>
      <w:proofErr w:type="spellEnd"/>
      <w:r>
        <w:rPr>
          <w:lang w:val="sv-FI"/>
        </w:rPr>
        <w:t xml:space="preserve"> hade skapat.</w:t>
      </w:r>
      <w:r>
        <w:rPr>
          <w:rStyle w:val="FootnoteReference"/>
          <w:lang w:val="sv-FI"/>
        </w:rPr>
        <w:footnoteReference w:id="8"/>
      </w:r>
      <w:r>
        <w:rPr>
          <w:lang w:val="sv-FI"/>
        </w:rPr>
        <w:t xml:space="preserve"> </w:t>
      </w:r>
    </w:p>
    <w:p w:rsidR="00054193" w:rsidRDefault="00054193" w:rsidP="00054193">
      <w:pPr>
        <w:spacing w:line="360" w:lineRule="auto"/>
        <w:ind w:left="1418" w:firstLine="382"/>
        <w:rPr>
          <w:lang w:val="sv-FI"/>
        </w:rPr>
      </w:pPr>
      <w:proofErr w:type="spellStart"/>
      <w:r>
        <w:rPr>
          <w:lang w:val="sv-FI"/>
        </w:rPr>
        <w:t>Baranov</w:t>
      </w:r>
      <w:proofErr w:type="spellEnd"/>
      <w:r>
        <w:rPr>
          <w:lang w:val="sv-FI"/>
        </w:rPr>
        <w:t xml:space="preserve"> förflyttade hela bosättningar med </w:t>
      </w:r>
      <w:proofErr w:type="spellStart"/>
      <w:r>
        <w:rPr>
          <w:lang w:val="sv-FI"/>
        </w:rPr>
        <w:t>aleuter</w:t>
      </w:r>
      <w:proofErr w:type="spellEnd"/>
      <w:r>
        <w:rPr>
          <w:lang w:val="sv-FI"/>
        </w:rPr>
        <w:t xml:space="preserve"> till Kodiak och tilldelade dem arbetsuppgifter inom kompaniet. I de flesta fall handlade det om skinnberedning och jakt. Enbart på Kodiak fanns 1500 </w:t>
      </w:r>
      <w:proofErr w:type="spellStart"/>
      <w:r>
        <w:rPr>
          <w:lang w:val="sv-FI"/>
        </w:rPr>
        <w:t>aleutjägare</w:t>
      </w:r>
      <w:proofErr w:type="spellEnd"/>
      <w:r>
        <w:rPr>
          <w:lang w:val="sv-FI"/>
        </w:rPr>
        <w:t xml:space="preserve"> med 800 </w:t>
      </w:r>
      <w:proofErr w:type="spellStart"/>
      <w:r>
        <w:rPr>
          <w:lang w:val="sv-FI"/>
        </w:rPr>
        <w:t>baidarkas</w:t>
      </w:r>
      <w:proofErr w:type="spellEnd"/>
      <w:r>
        <w:rPr>
          <w:lang w:val="sv-FI"/>
        </w:rPr>
        <w:t xml:space="preserve"> till kompaniets förfogande.</w:t>
      </w:r>
      <w:r>
        <w:rPr>
          <w:rStyle w:val="FootnoteReference"/>
          <w:lang w:val="sv-FI"/>
        </w:rPr>
        <w:footnoteReference w:id="9"/>
      </w:r>
    </w:p>
    <w:p w:rsidR="00054193" w:rsidRDefault="00054193" w:rsidP="00054193">
      <w:pPr>
        <w:spacing w:line="360" w:lineRule="auto"/>
        <w:ind w:left="1440" w:firstLine="360"/>
        <w:rPr>
          <w:lang w:val="sv-FI"/>
        </w:rPr>
      </w:pPr>
      <w:r>
        <w:rPr>
          <w:lang w:val="sv-FI"/>
        </w:rPr>
        <w:t xml:space="preserve">Aleuterna fruktade </w:t>
      </w:r>
      <w:proofErr w:type="spellStart"/>
      <w:r>
        <w:rPr>
          <w:lang w:val="sv-FI"/>
        </w:rPr>
        <w:t>Baranov</w:t>
      </w:r>
      <w:proofErr w:type="spellEnd"/>
      <w:r>
        <w:rPr>
          <w:lang w:val="sv-FI"/>
        </w:rPr>
        <w:t xml:space="preserve"> och han hade inga svårigheter med att leda flottor av </w:t>
      </w:r>
      <w:proofErr w:type="spellStart"/>
      <w:r>
        <w:rPr>
          <w:lang w:val="sv-FI"/>
        </w:rPr>
        <w:t>aleuter</w:t>
      </w:r>
      <w:proofErr w:type="spellEnd"/>
      <w:r>
        <w:rPr>
          <w:lang w:val="sv-FI"/>
        </w:rPr>
        <w:t xml:space="preserve"> längs med Alaskas kuster. I </w:t>
      </w:r>
      <w:proofErr w:type="spellStart"/>
      <w:r>
        <w:rPr>
          <w:lang w:val="sv-FI"/>
        </w:rPr>
        <w:t>Yakutat</w:t>
      </w:r>
      <w:proofErr w:type="spellEnd"/>
      <w:r>
        <w:rPr>
          <w:lang w:val="sv-FI"/>
        </w:rPr>
        <w:t xml:space="preserve">-viken träffade han för första gången på </w:t>
      </w:r>
      <w:proofErr w:type="spellStart"/>
      <w:r>
        <w:rPr>
          <w:lang w:val="sv-FI"/>
        </w:rPr>
        <w:t>tlingit</w:t>
      </w:r>
      <w:proofErr w:type="spellEnd"/>
      <w:r>
        <w:rPr>
          <w:lang w:val="sv-FI"/>
        </w:rPr>
        <w:t xml:space="preserve">-folket vilka visade sig vara ytterst problematiska. Eftersom </w:t>
      </w:r>
      <w:proofErr w:type="spellStart"/>
      <w:r>
        <w:rPr>
          <w:lang w:val="sv-FI"/>
        </w:rPr>
        <w:t>tlingiterna</w:t>
      </w:r>
      <w:proofErr w:type="spellEnd"/>
      <w:r>
        <w:rPr>
          <w:lang w:val="sv-FI"/>
        </w:rPr>
        <w:t xml:space="preserve"> hade redan en tid haft goda handelsförbindelser med amerikaner hade de också tillgång till billigare och bättre amerikanska varor. </w:t>
      </w:r>
    </w:p>
    <w:p w:rsidR="00054193" w:rsidRDefault="00054193" w:rsidP="00054193">
      <w:pPr>
        <w:spacing w:line="360" w:lineRule="auto"/>
        <w:ind w:left="1440" w:firstLine="360"/>
        <w:rPr>
          <w:lang w:val="sv-FI"/>
        </w:rPr>
      </w:pPr>
      <w:proofErr w:type="spellStart"/>
      <w:r>
        <w:rPr>
          <w:lang w:val="sv-FI"/>
        </w:rPr>
        <w:t>Baranov</w:t>
      </w:r>
      <w:proofErr w:type="spellEnd"/>
      <w:r>
        <w:rPr>
          <w:lang w:val="sv-FI"/>
        </w:rPr>
        <w:t xml:space="preserve"> lyckades inte i sina försök att ingå en handelsförbindelse med </w:t>
      </w:r>
      <w:proofErr w:type="spellStart"/>
      <w:r>
        <w:rPr>
          <w:lang w:val="sv-FI"/>
        </w:rPr>
        <w:t>tlingiterna</w:t>
      </w:r>
      <w:proofErr w:type="spellEnd"/>
      <w:r>
        <w:rPr>
          <w:lang w:val="sv-FI"/>
        </w:rPr>
        <w:t xml:space="preserve">. Därtill krävde de kompensationer av honom för hans jakt på havsutter inom det område som de ansåg tillhöra dem. Efter att </w:t>
      </w:r>
      <w:proofErr w:type="spellStart"/>
      <w:r>
        <w:rPr>
          <w:lang w:val="sv-FI"/>
        </w:rPr>
        <w:t>Baranov</w:t>
      </w:r>
      <w:proofErr w:type="spellEnd"/>
      <w:r>
        <w:rPr>
          <w:lang w:val="sv-FI"/>
        </w:rPr>
        <w:t xml:space="preserve"> tilldelat </w:t>
      </w:r>
      <w:proofErr w:type="spellStart"/>
      <w:r>
        <w:rPr>
          <w:lang w:val="sv-FI"/>
        </w:rPr>
        <w:t>tlingiterna</w:t>
      </w:r>
      <w:proofErr w:type="spellEnd"/>
      <w:r>
        <w:rPr>
          <w:lang w:val="sv-FI"/>
        </w:rPr>
        <w:t xml:space="preserve"> gåvor tilläts </w:t>
      </w:r>
      <w:proofErr w:type="spellStart"/>
      <w:r>
        <w:rPr>
          <w:lang w:val="sv-FI"/>
        </w:rPr>
        <w:t>aleut</w:t>
      </w:r>
      <w:proofErr w:type="spellEnd"/>
      <w:r>
        <w:rPr>
          <w:lang w:val="sv-FI"/>
        </w:rPr>
        <w:t xml:space="preserve">-flottan fortsätta sin färd, men </w:t>
      </w:r>
      <w:proofErr w:type="spellStart"/>
      <w:r>
        <w:rPr>
          <w:lang w:val="sv-FI"/>
        </w:rPr>
        <w:t>tlingiterna</w:t>
      </w:r>
      <w:proofErr w:type="spellEnd"/>
      <w:r>
        <w:rPr>
          <w:lang w:val="sv-FI"/>
        </w:rPr>
        <w:t xml:space="preserve"> höll ändå främlingarna under skarp uppsikt. Ryssarna kallade allmänt alla </w:t>
      </w:r>
      <w:proofErr w:type="spellStart"/>
      <w:r>
        <w:rPr>
          <w:lang w:val="sv-FI"/>
        </w:rPr>
        <w:t>tlingiter</w:t>
      </w:r>
      <w:proofErr w:type="spellEnd"/>
      <w:r>
        <w:rPr>
          <w:lang w:val="sv-FI"/>
        </w:rPr>
        <w:t xml:space="preserve"> för </w:t>
      </w:r>
      <w:proofErr w:type="spellStart"/>
      <w:r>
        <w:rPr>
          <w:i/>
          <w:lang w:val="sv-FI"/>
        </w:rPr>
        <w:t>koloshi</w:t>
      </w:r>
      <w:proofErr w:type="spellEnd"/>
      <w:r>
        <w:rPr>
          <w:i/>
          <w:lang w:val="sv-FI"/>
        </w:rPr>
        <w:t xml:space="preserve">, </w:t>
      </w:r>
      <w:r>
        <w:rPr>
          <w:lang w:val="sv-FI"/>
        </w:rPr>
        <w:t xml:space="preserve">ett namn ryssarna tagit av </w:t>
      </w:r>
      <w:proofErr w:type="spellStart"/>
      <w:r>
        <w:rPr>
          <w:lang w:val="sv-FI"/>
        </w:rPr>
        <w:t>aleuternas</w:t>
      </w:r>
      <w:proofErr w:type="spellEnd"/>
      <w:r>
        <w:rPr>
          <w:lang w:val="sv-FI"/>
        </w:rPr>
        <w:t xml:space="preserve"> benämning för den form av </w:t>
      </w:r>
      <w:proofErr w:type="spellStart"/>
      <w:r>
        <w:rPr>
          <w:lang w:val="sv-FI"/>
        </w:rPr>
        <w:t>läpp-plugg</w:t>
      </w:r>
      <w:proofErr w:type="spellEnd"/>
      <w:r>
        <w:rPr>
          <w:lang w:val="sv-FI"/>
        </w:rPr>
        <w:t xml:space="preserve"> som </w:t>
      </w:r>
      <w:proofErr w:type="spellStart"/>
      <w:r>
        <w:rPr>
          <w:lang w:val="sv-FI"/>
        </w:rPr>
        <w:t>tlingiterna</w:t>
      </w:r>
      <w:proofErr w:type="spellEnd"/>
      <w:r>
        <w:rPr>
          <w:lang w:val="sv-FI"/>
        </w:rPr>
        <w:t xml:space="preserve"> använde sig av. </w:t>
      </w:r>
      <w:r>
        <w:rPr>
          <w:rStyle w:val="FootnoteReference"/>
          <w:lang w:val="sv-FI"/>
        </w:rPr>
        <w:footnoteReference w:id="10"/>
      </w:r>
      <w:r>
        <w:rPr>
          <w:lang w:val="sv-FI"/>
        </w:rPr>
        <w:t xml:space="preserve">  </w:t>
      </w:r>
    </w:p>
    <w:p w:rsidR="00054193" w:rsidRDefault="00054193" w:rsidP="00054193">
      <w:pPr>
        <w:spacing w:line="360" w:lineRule="auto"/>
        <w:ind w:left="1418" w:firstLine="382"/>
        <w:rPr>
          <w:lang w:val="sv-FI"/>
        </w:rPr>
      </w:pPr>
      <w:proofErr w:type="spellStart"/>
      <w:r>
        <w:rPr>
          <w:lang w:val="sv-FI"/>
        </w:rPr>
        <w:t>Baranovs</w:t>
      </w:r>
      <w:proofErr w:type="spellEnd"/>
      <w:r>
        <w:rPr>
          <w:lang w:val="sv-FI"/>
        </w:rPr>
        <w:t xml:space="preserve"> följande möte med </w:t>
      </w:r>
      <w:proofErr w:type="spellStart"/>
      <w:r>
        <w:rPr>
          <w:lang w:val="sv-FI"/>
        </w:rPr>
        <w:t>tlingiter</w:t>
      </w:r>
      <w:proofErr w:type="spellEnd"/>
      <w:r>
        <w:rPr>
          <w:lang w:val="sv-FI"/>
        </w:rPr>
        <w:t xml:space="preserve"> skedde under mindre lugna omständigheter. </w:t>
      </w:r>
      <w:proofErr w:type="spellStart"/>
      <w:r>
        <w:rPr>
          <w:lang w:val="sv-FI"/>
        </w:rPr>
        <w:t>Baranov</w:t>
      </w:r>
      <w:proofErr w:type="spellEnd"/>
      <w:r>
        <w:rPr>
          <w:lang w:val="sv-FI"/>
        </w:rPr>
        <w:t xml:space="preserve"> och hans följe övernattade i land vid Prins William -sundet när de plötsligt anfölls av en grupp </w:t>
      </w:r>
      <w:proofErr w:type="spellStart"/>
      <w:r>
        <w:rPr>
          <w:lang w:val="sv-FI"/>
        </w:rPr>
        <w:t>tlingiter</w:t>
      </w:r>
      <w:proofErr w:type="spellEnd"/>
      <w:r>
        <w:rPr>
          <w:lang w:val="sv-FI"/>
        </w:rPr>
        <w:t xml:space="preserve"> i full stridsutrustning. Ryssarnas skott hade ringa effekt på </w:t>
      </w:r>
      <w:proofErr w:type="spellStart"/>
      <w:r>
        <w:rPr>
          <w:lang w:val="sv-FI"/>
        </w:rPr>
        <w:t>tlingiternas</w:t>
      </w:r>
      <w:proofErr w:type="spellEnd"/>
      <w:r>
        <w:rPr>
          <w:lang w:val="sv-FI"/>
        </w:rPr>
        <w:t xml:space="preserve"> tjocka bepansring och därmed förlorade två ryssar och nio </w:t>
      </w:r>
      <w:proofErr w:type="spellStart"/>
      <w:r>
        <w:rPr>
          <w:lang w:val="sv-FI"/>
        </w:rPr>
        <w:t>aleuter</w:t>
      </w:r>
      <w:proofErr w:type="spellEnd"/>
      <w:r>
        <w:rPr>
          <w:lang w:val="sv-FI"/>
        </w:rPr>
        <w:t xml:space="preserve"> livet och femton </w:t>
      </w:r>
      <w:proofErr w:type="spellStart"/>
      <w:r>
        <w:rPr>
          <w:lang w:val="sv-FI"/>
        </w:rPr>
        <w:t>aleuter</w:t>
      </w:r>
      <w:proofErr w:type="spellEnd"/>
      <w:r>
        <w:rPr>
          <w:lang w:val="sv-FI"/>
        </w:rPr>
        <w:t xml:space="preserve"> sårades före anfallet kunde avvärjas.</w:t>
      </w:r>
      <w:r>
        <w:rPr>
          <w:rStyle w:val="FootnoteReference"/>
          <w:lang w:val="sv-FI"/>
        </w:rPr>
        <w:footnoteReference w:id="11"/>
      </w:r>
      <w:r>
        <w:rPr>
          <w:lang w:val="sv-FI"/>
        </w:rPr>
        <w:t xml:space="preserve">    </w:t>
      </w:r>
    </w:p>
    <w:p w:rsidR="00054193" w:rsidRDefault="00054193" w:rsidP="00054193">
      <w:pPr>
        <w:spacing w:line="360" w:lineRule="auto"/>
        <w:ind w:left="1418" w:firstLine="382"/>
        <w:rPr>
          <w:lang w:val="sv-FI"/>
        </w:rPr>
      </w:pPr>
      <w:proofErr w:type="spellStart"/>
      <w:r>
        <w:rPr>
          <w:lang w:val="sv-FI"/>
        </w:rPr>
        <w:t>Tlingiterna</w:t>
      </w:r>
      <w:proofErr w:type="spellEnd"/>
      <w:r>
        <w:rPr>
          <w:lang w:val="sv-FI"/>
        </w:rPr>
        <w:t xml:space="preserve"> hade genom sina goda handelsförbindelser samlat en stor vapenarsenal i vilken t.o.m. kanoner ingick.</w:t>
      </w:r>
      <w:r>
        <w:rPr>
          <w:rStyle w:val="FootnoteReference"/>
          <w:lang w:val="sv-FI"/>
        </w:rPr>
        <w:footnoteReference w:id="12"/>
      </w:r>
      <w:r>
        <w:rPr>
          <w:lang w:val="sv-FI"/>
        </w:rPr>
        <w:t xml:space="preserve"> De väl rustade </w:t>
      </w:r>
      <w:proofErr w:type="spellStart"/>
      <w:r>
        <w:rPr>
          <w:lang w:val="sv-FI"/>
        </w:rPr>
        <w:t>tlingiterna</w:t>
      </w:r>
      <w:proofErr w:type="spellEnd"/>
      <w:r>
        <w:rPr>
          <w:lang w:val="sv-FI"/>
        </w:rPr>
        <w:t xml:space="preserve"> bjöd på inte enbart på hårt motstånd utan lyckades därtill behålla sin dominans över vissa områden och handelsrutter.</w:t>
      </w:r>
    </w:p>
    <w:p w:rsidR="00054193" w:rsidRDefault="00054193" w:rsidP="00054193">
      <w:pPr>
        <w:spacing w:line="360" w:lineRule="auto"/>
        <w:ind w:left="1418" w:firstLine="382"/>
        <w:rPr>
          <w:lang w:val="sv-FI"/>
        </w:rPr>
      </w:pPr>
      <w:r>
        <w:rPr>
          <w:lang w:val="sv-FI"/>
        </w:rPr>
        <w:t xml:space="preserve">Den ryska bosättningen i </w:t>
      </w:r>
      <w:proofErr w:type="spellStart"/>
      <w:r>
        <w:rPr>
          <w:lang w:val="sv-FI"/>
        </w:rPr>
        <w:t>Sitka</w:t>
      </w:r>
      <w:proofErr w:type="spellEnd"/>
      <w:r>
        <w:rPr>
          <w:lang w:val="sv-FI"/>
        </w:rPr>
        <w:t xml:space="preserve"> grundades 1799 och </w:t>
      </w:r>
      <w:proofErr w:type="spellStart"/>
      <w:r>
        <w:rPr>
          <w:lang w:val="sv-FI"/>
        </w:rPr>
        <w:t>Baranov</w:t>
      </w:r>
      <w:proofErr w:type="spellEnd"/>
      <w:r>
        <w:rPr>
          <w:lang w:val="sv-FI"/>
        </w:rPr>
        <w:t xml:space="preserve"> övervakade bygget personligen. De lokala </w:t>
      </w:r>
      <w:proofErr w:type="spellStart"/>
      <w:r>
        <w:rPr>
          <w:lang w:val="sv-FI"/>
        </w:rPr>
        <w:t>tlingit</w:t>
      </w:r>
      <w:proofErr w:type="spellEnd"/>
      <w:r>
        <w:rPr>
          <w:lang w:val="sv-FI"/>
        </w:rPr>
        <w:t xml:space="preserve">-hövdingarna hade godkänt bygget efter att </w:t>
      </w:r>
      <w:proofErr w:type="spellStart"/>
      <w:r>
        <w:rPr>
          <w:lang w:val="sv-FI"/>
        </w:rPr>
        <w:t>Baranov</w:t>
      </w:r>
      <w:proofErr w:type="spellEnd"/>
      <w:r>
        <w:rPr>
          <w:lang w:val="sv-FI"/>
        </w:rPr>
        <w:t xml:space="preserve"> genom rikliga gåvor försäkrat dem om ryssarnas goda avsikter. </w:t>
      </w:r>
      <w:proofErr w:type="spellStart"/>
      <w:r>
        <w:rPr>
          <w:lang w:val="sv-FI"/>
        </w:rPr>
        <w:t>Baranov</w:t>
      </w:r>
      <w:proofErr w:type="spellEnd"/>
      <w:r>
        <w:rPr>
          <w:lang w:val="sv-FI"/>
        </w:rPr>
        <w:t xml:space="preserve"> återvände följande vår till Kodiak, kvar på </w:t>
      </w:r>
      <w:proofErr w:type="spellStart"/>
      <w:r>
        <w:rPr>
          <w:lang w:val="sv-FI"/>
        </w:rPr>
        <w:t>Sitka</w:t>
      </w:r>
      <w:proofErr w:type="spellEnd"/>
      <w:r>
        <w:rPr>
          <w:lang w:val="sv-FI"/>
        </w:rPr>
        <w:t xml:space="preserve"> blev 20 ryssar och omkring 130 </w:t>
      </w:r>
      <w:proofErr w:type="spellStart"/>
      <w:r>
        <w:rPr>
          <w:lang w:val="sv-FI"/>
        </w:rPr>
        <w:t>aleuter</w:t>
      </w:r>
      <w:proofErr w:type="spellEnd"/>
      <w:r>
        <w:rPr>
          <w:lang w:val="sv-FI"/>
        </w:rPr>
        <w:t xml:space="preserve"> och koniager under </w:t>
      </w:r>
      <w:proofErr w:type="spellStart"/>
      <w:r>
        <w:rPr>
          <w:lang w:val="sv-FI"/>
        </w:rPr>
        <w:t>Vasilii</w:t>
      </w:r>
      <w:proofErr w:type="spellEnd"/>
      <w:r>
        <w:rPr>
          <w:lang w:val="sv-FI"/>
        </w:rPr>
        <w:t xml:space="preserve"> </w:t>
      </w:r>
      <w:proofErr w:type="spellStart"/>
      <w:r>
        <w:rPr>
          <w:lang w:val="sv-FI"/>
        </w:rPr>
        <w:t>Medvenikovs</w:t>
      </w:r>
      <w:proofErr w:type="spellEnd"/>
      <w:r>
        <w:rPr>
          <w:lang w:val="sv-FI"/>
        </w:rPr>
        <w:t xml:space="preserve"> ledning. Läget var från första början spänt mellan </w:t>
      </w:r>
      <w:proofErr w:type="spellStart"/>
      <w:r>
        <w:rPr>
          <w:lang w:val="sv-FI"/>
        </w:rPr>
        <w:t>tlingiterna</w:t>
      </w:r>
      <w:proofErr w:type="spellEnd"/>
      <w:r>
        <w:rPr>
          <w:lang w:val="sv-FI"/>
        </w:rPr>
        <w:t xml:space="preserve"> och ryssarna och skärptes ytterligare då ryssarna fortsatte att behandla dem lika dåligt som </w:t>
      </w:r>
      <w:proofErr w:type="spellStart"/>
      <w:r>
        <w:rPr>
          <w:lang w:val="sv-FI"/>
        </w:rPr>
        <w:t>aleuterna</w:t>
      </w:r>
      <w:proofErr w:type="spellEnd"/>
      <w:r>
        <w:rPr>
          <w:lang w:val="sv-FI"/>
        </w:rPr>
        <w:t xml:space="preserve"> och därtill tog sig vissa friheter med deras kvinnor. Under vårvintern 1802 anfölls fortet av en ansenlig </w:t>
      </w:r>
      <w:proofErr w:type="spellStart"/>
      <w:r>
        <w:rPr>
          <w:lang w:val="sv-FI"/>
        </w:rPr>
        <w:t>tlingit</w:t>
      </w:r>
      <w:proofErr w:type="spellEnd"/>
      <w:r>
        <w:rPr>
          <w:lang w:val="sv-FI"/>
        </w:rPr>
        <w:t xml:space="preserve">-armé vilket resulterade i en massaker där alla ryssar dödades och få överlevande </w:t>
      </w:r>
      <w:proofErr w:type="spellStart"/>
      <w:r>
        <w:rPr>
          <w:lang w:val="sv-FI"/>
        </w:rPr>
        <w:t>aleuter</w:t>
      </w:r>
      <w:proofErr w:type="spellEnd"/>
      <w:r>
        <w:rPr>
          <w:lang w:val="sv-FI"/>
        </w:rPr>
        <w:t xml:space="preserve"> och koniager togs till fånga. </w:t>
      </w:r>
    </w:p>
    <w:p w:rsidR="00054193" w:rsidRDefault="00054193" w:rsidP="00054193">
      <w:pPr>
        <w:spacing w:line="360" w:lineRule="auto"/>
        <w:ind w:left="1418" w:firstLine="382"/>
        <w:rPr>
          <w:lang w:val="sv-FI"/>
        </w:rPr>
      </w:pPr>
      <w:proofErr w:type="spellStart"/>
      <w:r>
        <w:rPr>
          <w:lang w:val="sv-FI"/>
        </w:rPr>
        <w:t>Baranov</w:t>
      </w:r>
      <w:proofErr w:type="spellEnd"/>
      <w:r>
        <w:rPr>
          <w:lang w:val="sv-FI"/>
        </w:rPr>
        <w:t xml:space="preserve"> fick besked om anfallet senare samma år och beslöt sig för att återerövra fortet till vilket pris som helst. </w:t>
      </w:r>
      <w:proofErr w:type="spellStart"/>
      <w:r>
        <w:rPr>
          <w:lang w:val="sv-FI"/>
        </w:rPr>
        <w:t>Baranov</w:t>
      </w:r>
      <w:proofErr w:type="spellEnd"/>
      <w:r>
        <w:rPr>
          <w:lang w:val="sv-FI"/>
        </w:rPr>
        <w:t xml:space="preserve"> rustade upp en ansenlig armada bestående av 400 </w:t>
      </w:r>
      <w:proofErr w:type="spellStart"/>
      <w:r>
        <w:rPr>
          <w:lang w:val="sv-FI"/>
        </w:rPr>
        <w:t>baidaror</w:t>
      </w:r>
      <w:proofErr w:type="spellEnd"/>
      <w:r>
        <w:rPr>
          <w:lang w:val="sv-FI"/>
        </w:rPr>
        <w:t xml:space="preserve"> och 900 man av vilka 50 </w:t>
      </w:r>
      <w:proofErr w:type="spellStart"/>
      <w:r>
        <w:rPr>
          <w:lang w:val="sv-FI"/>
        </w:rPr>
        <w:t>baidaror</w:t>
      </w:r>
      <w:proofErr w:type="spellEnd"/>
      <w:r>
        <w:rPr>
          <w:lang w:val="sv-FI"/>
        </w:rPr>
        <w:t xml:space="preserve"> med 100 män förliste under den långa resan till </w:t>
      </w:r>
      <w:proofErr w:type="spellStart"/>
      <w:r>
        <w:rPr>
          <w:lang w:val="sv-FI"/>
        </w:rPr>
        <w:t>Sitka</w:t>
      </w:r>
      <w:proofErr w:type="spellEnd"/>
      <w:r>
        <w:rPr>
          <w:lang w:val="sv-FI"/>
        </w:rPr>
        <w:t xml:space="preserve"> 1804. Därtill fick han oväntat hjälp av flaggskeppet Neva samt tre mindre skepp rustade med kanoner. </w:t>
      </w:r>
      <w:proofErr w:type="spellStart"/>
      <w:r>
        <w:rPr>
          <w:lang w:val="sv-FI"/>
        </w:rPr>
        <w:t>Tlingiterna</w:t>
      </w:r>
      <w:proofErr w:type="spellEnd"/>
      <w:r>
        <w:rPr>
          <w:lang w:val="sv-FI"/>
        </w:rPr>
        <w:t xml:space="preserve"> var redo och hade förskansat sin by enligt ryssarnas exempel. Innanför deras murar fanns c. 800 </w:t>
      </w:r>
      <w:proofErr w:type="spellStart"/>
      <w:r>
        <w:rPr>
          <w:lang w:val="sv-FI"/>
        </w:rPr>
        <w:t>tlingiter</w:t>
      </w:r>
      <w:proofErr w:type="spellEnd"/>
      <w:r>
        <w:rPr>
          <w:lang w:val="sv-FI"/>
        </w:rPr>
        <w:t xml:space="preserve"> av båda könen och alla ålderskategorier. Flera mindre strider följde och ryssarna fortsatte med att bombardera </w:t>
      </w:r>
      <w:proofErr w:type="spellStart"/>
      <w:r>
        <w:rPr>
          <w:lang w:val="sv-FI"/>
        </w:rPr>
        <w:t>tlingiternas</w:t>
      </w:r>
      <w:proofErr w:type="spellEnd"/>
      <w:r>
        <w:rPr>
          <w:lang w:val="sv-FI"/>
        </w:rPr>
        <w:t xml:space="preserve"> fästning. Den 26 september tystnade fortet och ryssarna gick iland för att granska orsaken. De upptäckte att </w:t>
      </w:r>
      <w:proofErr w:type="spellStart"/>
      <w:r>
        <w:rPr>
          <w:lang w:val="sv-FI"/>
        </w:rPr>
        <w:t>tlingiterna</w:t>
      </w:r>
      <w:proofErr w:type="spellEnd"/>
      <w:r>
        <w:rPr>
          <w:lang w:val="sv-FI"/>
        </w:rPr>
        <w:t xml:space="preserve"> i all tysthet lämnat fortet under natten och kvar fanns tre gamla kvinnor och de livlösa kropparna av fem barn och många döda hundar. Därtill fann man kropparna av omkring trettio andra stupade </w:t>
      </w:r>
      <w:proofErr w:type="spellStart"/>
      <w:r>
        <w:rPr>
          <w:lang w:val="sv-FI"/>
        </w:rPr>
        <w:t>tlingiter</w:t>
      </w:r>
      <w:proofErr w:type="spellEnd"/>
      <w:r>
        <w:rPr>
          <w:lang w:val="sv-FI"/>
        </w:rPr>
        <w:t xml:space="preserve"> i närheten av fortet. Ryssarna antog att </w:t>
      </w:r>
      <w:proofErr w:type="spellStart"/>
      <w:r>
        <w:rPr>
          <w:lang w:val="sv-FI"/>
        </w:rPr>
        <w:t>tlingiterna</w:t>
      </w:r>
      <w:proofErr w:type="spellEnd"/>
      <w:r>
        <w:rPr>
          <w:lang w:val="sv-FI"/>
        </w:rPr>
        <w:t xml:space="preserve"> hade fruktat att barnens skrik samt hundarnas skällande kunnat avslöja deras flykt och därför tagit livet av dem. </w:t>
      </w:r>
      <w:proofErr w:type="spellStart"/>
      <w:r>
        <w:rPr>
          <w:lang w:val="sv-FI"/>
        </w:rPr>
        <w:t>Baranov</w:t>
      </w:r>
      <w:proofErr w:type="spellEnd"/>
      <w:r>
        <w:rPr>
          <w:lang w:val="sv-FI"/>
        </w:rPr>
        <w:t xml:space="preserve"> lät bränna indianernas fort och uppförde ett eget i närheten. Den nya bosättningen fick heta Novo Archangelsk, men kallades även rätt allmänt för </w:t>
      </w:r>
      <w:proofErr w:type="spellStart"/>
      <w:r>
        <w:rPr>
          <w:lang w:val="sv-FI"/>
        </w:rPr>
        <w:t>Sitka</w:t>
      </w:r>
      <w:proofErr w:type="spellEnd"/>
      <w:r>
        <w:rPr>
          <w:lang w:val="sv-FI"/>
        </w:rPr>
        <w:t xml:space="preserve">. </w:t>
      </w:r>
      <w:r>
        <w:rPr>
          <w:rStyle w:val="FootnoteReference"/>
          <w:lang w:val="sv-FI"/>
        </w:rPr>
        <w:footnoteReference w:id="13"/>
      </w:r>
    </w:p>
    <w:p w:rsidR="00054193" w:rsidRDefault="00054193" w:rsidP="00054193">
      <w:pPr>
        <w:spacing w:line="360" w:lineRule="auto"/>
        <w:ind w:left="1440" w:firstLine="382"/>
        <w:rPr>
          <w:lang w:val="sv-FI"/>
        </w:rPr>
      </w:pPr>
      <w:r>
        <w:rPr>
          <w:lang w:val="sv-FI"/>
        </w:rPr>
        <w:t xml:space="preserve">De återkommande svårigheterna med </w:t>
      </w:r>
      <w:proofErr w:type="spellStart"/>
      <w:r>
        <w:rPr>
          <w:lang w:val="sv-FI"/>
        </w:rPr>
        <w:t>tlingiterna</w:t>
      </w:r>
      <w:proofErr w:type="spellEnd"/>
      <w:r>
        <w:rPr>
          <w:lang w:val="sv-FI"/>
        </w:rPr>
        <w:t xml:space="preserve"> fortsatte dock både i </w:t>
      </w:r>
      <w:proofErr w:type="spellStart"/>
      <w:r>
        <w:rPr>
          <w:lang w:val="sv-FI"/>
        </w:rPr>
        <w:t>Sitka</w:t>
      </w:r>
      <w:proofErr w:type="spellEnd"/>
      <w:r>
        <w:rPr>
          <w:lang w:val="sv-FI"/>
        </w:rPr>
        <w:t xml:space="preserve"> och </w:t>
      </w:r>
      <w:proofErr w:type="gramStart"/>
      <w:r>
        <w:rPr>
          <w:lang w:val="sv-FI"/>
        </w:rPr>
        <w:t>annorstädes</w:t>
      </w:r>
      <w:proofErr w:type="gramEnd"/>
      <w:r>
        <w:rPr>
          <w:lang w:val="sv-FI"/>
        </w:rPr>
        <w:t xml:space="preserve">. Den av </w:t>
      </w:r>
      <w:proofErr w:type="spellStart"/>
      <w:r>
        <w:rPr>
          <w:lang w:val="sv-FI"/>
        </w:rPr>
        <w:t>Baranov</w:t>
      </w:r>
      <w:proofErr w:type="spellEnd"/>
      <w:r>
        <w:rPr>
          <w:lang w:val="sv-FI"/>
        </w:rPr>
        <w:t xml:space="preserve"> 1796 grundade bosättningen Fort </w:t>
      </w:r>
      <w:proofErr w:type="spellStart"/>
      <w:r>
        <w:rPr>
          <w:lang w:val="sv-FI"/>
        </w:rPr>
        <w:t>Yakutat</w:t>
      </w:r>
      <w:proofErr w:type="spellEnd"/>
      <w:r>
        <w:rPr>
          <w:lang w:val="sv-FI"/>
        </w:rPr>
        <w:t xml:space="preserve"> förstördes till grunden av </w:t>
      </w:r>
      <w:proofErr w:type="spellStart"/>
      <w:r>
        <w:rPr>
          <w:lang w:val="sv-FI"/>
        </w:rPr>
        <w:t>tlingiterna</w:t>
      </w:r>
      <w:proofErr w:type="spellEnd"/>
      <w:r>
        <w:rPr>
          <w:lang w:val="sv-FI"/>
        </w:rPr>
        <w:t xml:space="preserve"> under ett blodigt anfall 1805, och återuppbyggdes aldrig.</w:t>
      </w:r>
      <w:r>
        <w:rPr>
          <w:rStyle w:val="FootnoteReference"/>
          <w:lang w:val="sv-FI"/>
        </w:rPr>
        <w:footnoteReference w:id="14"/>
      </w:r>
    </w:p>
    <w:p w:rsidR="00054193" w:rsidRPr="000B4CEB" w:rsidRDefault="00054193" w:rsidP="00054193">
      <w:pPr>
        <w:rPr>
          <w:lang w:val="sv-FI"/>
        </w:rPr>
      </w:pPr>
    </w:p>
    <w:p w:rsidR="000B4CEB" w:rsidRDefault="00054193" w:rsidP="000B4CEB">
      <w:pPr>
        <w:pStyle w:val="Heading1"/>
        <w:rPr>
          <w:lang w:val="sv-FI"/>
        </w:rPr>
      </w:pPr>
      <w:r>
        <w:rPr>
          <w:lang w:val="sv-FI"/>
        </w:rPr>
        <w:t>Finländarna anländer</w:t>
      </w:r>
    </w:p>
    <w:p w:rsidR="003B3E30" w:rsidRDefault="00054193" w:rsidP="003B3E30">
      <w:pPr>
        <w:spacing w:line="360" w:lineRule="auto"/>
        <w:ind w:left="1418"/>
        <w:rPr>
          <w:lang w:val="sv-FI"/>
        </w:rPr>
      </w:pPr>
      <w:r>
        <w:rPr>
          <w:lang w:val="sv-FI"/>
        </w:rPr>
        <w:t xml:space="preserve">Ryssarnas behov att utveckla och förbättra sin flotta medförde att Baltiska sjömän och befäl fann anställning hos det ryska amerikanska kompaniet. </w:t>
      </w:r>
      <w:r w:rsidR="003B3E30">
        <w:rPr>
          <w:lang w:val="sv-FI"/>
        </w:rPr>
        <w:t xml:space="preserve">Efter 1809 fann öppnades även nya horisonter för </w:t>
      </w:r>
      <w:proofErr w:type="spellStart"/>
      <w:r w:rsidR="003B3E30">
        <w:rPr>
          <w:lang w:val="sv-FI"/>
        </w:rPr>
        <w:t>finlänska</w:t>
      </w:r>
      <w:proofErr w:type="spellEnd"/>
      <w:r w:rsidR="003B3E30">
        <w:rPr>
          <w:lang w:val="sv-FI"/>
        </w:rPr>
        <w:t xml:space="preserve"> sjömän i rysk tjänst. Arvid Adolf </w:t>
      </w:r>
      <w:proofErr w:type="spellStart"/>
      <w:r w:rsidR="003B3E30">
        <w:rPr>
          <w:lang w:val="sv-FI"/>
        </w:rPr>
        <w:t>Etholen</w:t>
      </w:r>
      <w:proofErr w:type="spellEnd"/>
      <w:r w:rsidR="003B3E30">
        <w:rPr>
          <w:lang w:val="sv-FI"/>
        </w:rPr>
        <w:t xml:space="preserve"> var bland de </w:t>
      </w:r>
      <w:proofErr w:type="gramStart"/>
      <w:r w:rsidR="003B3E30">
        <w:rPr>
          <w:lang w:val="sv-FI"/>
        </w:rPr>
        <w:t>första  fin</w:t>
      </w:r>
      <w:r w:rsidR="000F06F3">
        <w:rPr>
          <w:lang w:val="sv-FI"/>
        </w:rPr>
        <w:t>ländare</w:t>
      </w:r>
      <w:proofErr w:type="gramEnd"/>
      <w:r w:rsidR="000F06F3">
        <w:rPr>
          <w:lang w:val="sv-FI"/>
        </w:rPr>
        <w:t xml:space="preserve"> i </w:t>
      </w:r>
      <w:r w:rsidR="003B3E30">
        <w:rPr>
          <w:lang w:val="sv-FI"/>
        </w:rPr>
        <w:t xml:space="preserve">Alaska. Han föddes i Helsingfors den nionde januari 1799, </w:t>
      </w:r>
      <w:r w:rsidR="000F06F3">
        <w:rPr>
          <w:lang w:val="sv-FI"/>
        </w:rPr>
        <w:t xml:space="preserve">hans </w:t>
      </w:r>
      <w:r w:rsidR="003B3E30">
        <w:rPr>
          <w:lang w:val="sv-FI"/>
        </w:rPr>
        <w:t xml:space="preserve">härstammade ifrån byn </w:t>
      </w:r>
      <w:proofErr w:type="spellStart"/>
      <w:r w:rsidR="003B3E30">
        <w:rPr>
          <w:lang w:val="sv-FI"/>
        </w:rPr>
        <w:t>Etola</w:t>
      </w:r>
      <w:proofErr w:type="spellEnd"/>
      <w:r w:rsidR="003B3E30">
        <w:rPr>
          <w:lang w:val="sv-FI"/>
        </w:rPr>
        <w:t xml:space="preserve"> i Tavaste</w:t>
      </w:r>
      <w:r w:rsidR="000F06F3">
        <w:rPr>
          <w:lang w:val="sv-FI"/>
        </w:rPr>
        <w:t xml:space="preserve">hus län varifrån Arvid Adolfs </w:t>
      </w:r>
      <w:r w:rsidR="003B3E30">
        <w:rPr>
          <w:lang w:val="sv-FI"/>
        </w:rPr>
        <w:t xml:space="preserve">far, Carl Gustaf antog den svenska namnformen </w:t>
      </w:r>
      <w:proofErr w:type="spellStart"/>
      <w:r w:rsidR="003B3E30">
        <w:rPr>
          <w:lang w:val="sv-FI"/>
        </w:rPr>
        <w:t>Etholén</w:t>
      </w:r>
      <w:proofErr w:type="spellEnd"/>
      <w:r w:rsidR="003B3E30">
        <w:rPr>
          <w:lang w:val="sv-FI"/>
        </w:rPr>
        <w:t xml:space="preserve"> och flyttade till Helsingfors. </w:t>
      </w:r>
      <w:r w:rsidR="000F06F3">
        <w:rPr>
          <w:lang w:val="sv-FI"/>
        </w:rPr>
        <w:t xml:space="preserve">Uppväxten i den </w:t>
      </w:r>
      <w:r w:rsidR="003B3E30">
        <w:rPr>
          <w:lang w:val="sv-FI"/>
        </w:rPr>
        <w:t>borgerliga miljö</w:t>
      </w:r>
      <w:r w:rsidR="000F06F3">
        <w:rPr>
          <w:lang w:val="sv-FI"/>
        </w:rPr>
        <w:t>n i Helsingfors av</w:t>
      </w:r>
      <w:r w:rsidR="003B3E30">
        <w:rPr>
          <w:lang w:val="sv-FI"/>
        </w:rPr>
        <w:t>bröt</w:t>
      </w:r>
      <w:r w:rsidR="000F06F3">
        <w:rPr>
          <w:lang w:val="sv-FI"/>
        </w:rPr>
        <w:t xml:space="preserve">s </w:t>
      </w:r>
      <w:r w:rsidR="003B3E30">
        <w:rPr>
          <w:lang w:val="sv-FI"/>
        </w:rPr>
        <w:t>i</w:t>
      </w:r>
      <w:r w:rsidR="000F06F3">
        <w:rPr>
          <w:lang w:val="sv-FI"/>
        </w:rPr>
        <w:t xml:space="preserve"> en tidig ålder då Arvid Adolf</w:t>
      </w:r>
      <w:r w:rsidR="003B3E30">
        <w:rPr>
          <w:lang w:val="sv-FI"/>
        </w:rPr>
        <w:t xml:space="preserve"> mönstrade till sjöss med handelsflottan. I Kronstadt 1817 gick han som frivillig ombord på skeppet Kamtjatka som var på väg till </w:t>
      </w:r>
      <w:proofErr w:type="spellStart"/>
      <w:r w:rsidR="003B3E30">
        <w:rPr>
          <w:lang w:val="sv-FI"/>
        </w:rPr>
        <w:t>Sitka</w:t>
      </w:r>
      <w:proofErr w:type="spellEnd"/>
      <w:r w:rsidR="003B3E30">
        <w:rPr>
          <w:lang w:val="sv-FI"/>
        </w:rPr>
        <w:t xml:space="preserve">. Väl framme i </w:t>
      </w:r>
      <w:proofErr w:type="spellStart"/>
      <w:r w:rsidR="003B3E30">
        <w:rPr>
          <w:lang w:val="sv-FI"/>
        </w:rPr>
        <w:t>Sitka</w:t>
      </w:r>
      <w:proofErr w:type="spellEnd"/>
      <w:r w:rsidR="003B3E30">
        <w:rPr>
          <w:lang w:val="sv-FI"/>
        </w:rPr>
        <w:t xml:space="preserve"> bestämde sig den unge </w:t>
      </w:r>
      <w:proofErr w:type="spellStart"/>
      <w:r w:rsidR="003B3E30">
        <w:rPr>
          <w:lang w:val="sv-FI"/>
        </w:rPr>
        <w:t>Etholén</w:t>
      </w:r>
      <w:proofErr w:type="spellEnd"/>
      <w:r w:rsidR="003B3E30">
        <w:rPr>
          <w:lang w:val="sv-FI"/>
        </w:rPr>
        <w:t xml:space="preserve"> för att stanna i kolonin och undertecknade ett femårigt tjänsteavtal med kompaniet. Lönerna var betydligt högre för officerer i kompaniets tjänst, därtill ingick en tjänstebostad med tjänare. De högre stående officerarna erbjöds även möjligheten att dagligen äta lunch vid guvernörsbordet. Resan till och från </w:t>
      </w:r>
      <w:proofErr w:type="spellStart"/>
      <w:r w:rsidR="003B3E30">
        <w:rPr>
          <w:lang w:val="sv-FI"/>
        </w:rPr>
        <w:t>Sitka</w:t>
      </w:r>
      <w:proofErr w:type="spellEnd"/>
      <w:r w:rsidR="003B3E30">
        <w:rPr>
          <w:lang w:val="sv-FI"/>
        </w:rPr>
        <w:t xml:space="preserve"> var gratis för officerarna och ämbetsmännen. Den gemene mannen hade det sämre ställt eftersom de var tvungna att åtminstone delvis betala för hemresan själva.</w:t>
      </w:r>
      <w:r w:rsidR="003B3E30">
        <w:rPr>
          <w:rStyle w:val="FootnoteReference"/>
          <w:lang w:val="sv-FI"/>
        </w:rPr>
        <w:footnoteReference w:id="15"/>
      </w:r>
    </w:p>
    <w:p w:rsidR="003B3E30" w:rsidRDefault="003B3E30" w:rsidP="000F06F3">
      <w:pPr>
        <w:spacing w:line="360" w:lineRule="auto"/>
        <w:ind w:left="1418"/>
        <w:rPr>
          <w:lang w:val="sv-FI"/>
        </w:rPr>
      </w:pPr>
      <w:proofErr w:type="spellStart"/>
      <w:r>
        <w:rPr>
          <w:lang w:val="sv-FI"/>
        </w:rPr>
        <w:t>Baranov</w:t>
      </w:r>
      <w:proofErr w:type="spellEnd"/>
      <w:r>
        <w:rPr>
          <w:lang w:val="sv-FI"/>
        </w:rPr>
        <w:t xml:space="preserve"> var fortfarande guvernör i </w:t>
      </w:r>
      <w:proofErr w:type="spellStart"/>
      <w:r>
        <w:rPr>
          <w:lang w:val="sv-FI"/>
        </w:rPr>
        <w:t>Sitka</w:t>
      </w:r>
      <w:proofErr w:type="spellEnd"/>
      <w:r>
        <w:rPr>
          <w:lang w:val="sv-FI"/>
        </w:rPr>
        <w:t xml:space="preserve"> när </w:t>
      </w:r>
      <w:proofErr w:type="spellStart"/>
      <w:r>
        <w:rPr>
          <w:lang w:val="sv-FI"/>
        </w:rPr>
        <w:t>Etholén</w:t>
      </w:r>
      <w:proofErr w:type="spellEnd"/>
      <w:r>
        <w:rPr>
          <w:lang w:val="sv-FI"/>
        </w:rPr>
        <w:t xml:space="preserve"> anlände dit tillsammans med landsmannen Karl Schmidt. De unga finländarnas tappra och raka hållning imponerade stort den gamle </w:t>
      </w:r>
      <w:proofErr w:type="spellStart"/>
      <w:r>
        <w:rPr>
          <w:lang w:val="sv-FI"/>
        </w:rPr>
        <w:t>Baranov</w:t>
      </w:r>
      <w:proofErr w:type="spellEnd"/>
      <w:r>
        <w:rPr>
          <w:lang w:val="sv-FI"/>
        </w:rPr>
        <w:t xml:space="preserve"> som tårögd utropade: ”Varför kunde inte huvudkontoret skicka mig män som er tidigare, allting kunde ha gått så mycket lättare!”</w:t>
      </w:r>
      <w:r>
        <w:rPr>
          <w:rStyle w:val="FootnoteReference"/>
          <w:lang w:val="sv-FI"/>
        </w:rPr>
        <w:footnoteReference w:id="16"/>
      </w:r>
    </w:p>
    <w:p w:rsidR="003B3E30" w:rsidRDefault="003B3E30" w:rsidP="000F06F3">
      <w:pPr>
        <w:spacing w:line="360" w:lineRule="auto"/>
        <w:ind w:left="1418"/>
        <w:rPr>
          <w:lang w:val="sv-FI"/>
        </w:rPr>
      </w:pPr>
      <w:r>
        <w:rPr>
          <w:lang w:val="sv-FI"/>
        </w:rPr>
        <w:t xml:space="preserve">Adolf </w:t>
      </w:r>
      <w:proofErr w:type="spellStart"/>
      <w:r>
        <w:rPr>
          <w:lang w:val="sv-FI"/>
        </w:rPr>
        <w:t>Etholén</w:t>
      </w:r>
      <w:proofErr w:type="spellEnd"/>
      <w:r>
        <w:rPr>
          <w:lang w:val="sv-FI"/>
        </w:rPr>
        <w:t xml:space="preserve"> visade sig vara en kapabel man och deltog i flera färder längs med Amerikas kuster mellan åren 1819 och 1824. Han seglade längs med norra Alaskas kuster och samlade information om området och de lokala infödingarna med vilka han också etablerade handelsförhållanden. </w:t>
      </w:r>
      <w:proofErr w:type="spellStart"/>
      <w:r>
        <w:rPr>
          <w:lang w:val="sv-FI"/>
        </w:rPr>
        <w:t>Etholén</w:t>
      </w:r>
      <w:proofErr w:type="spellEnd"/>
      <w:r>
        <w:rPr>
          <w:lang w:val="sv-FI"/>
        </w:rPr>
        <w:t xml:space="preserve"> fortsatte med att troget tjäna det ryska handelskompaniet under flera år och avancerade i rang. Den 23 november 1838 utnämndes </w:t>
      </w:r>
      <w:proofErr w:type="spellStart"/>
      <w:r>
        <w:rPr>
          <w:lang w:val="sv-FI"/>
        </w:rPr>
        <w:t>Etholén</w:t>
      </w:r>
      <w:proofErr w:type="spellEnd"/>
      <w:r>
        <w:rPr>
          <w:lang w:val="sv-FI"/>
        </w:rPr>
        <w:t xml:space="preserve"> till generalguvernör över de ryska kolonierna i Amerika, till ett av kraven hörde att han borde vara gift vid mottagandet av posten. Han fann sin kommande fru i Helsingfors, en ung societetsdam med namnet Margaretha Sundvall, född 1814.</w:t>
      </w:r>
      <w:r>
        <w:rPr>
          <w:rStyle w:val="FootnoteReference"/>
          <w:lang w:val="sv-FI"/>
        </w:rPr>
        <w:footnoteReference w:id="17"/>
      </w:r>
    </w:p>
    <w:p w:rsidR="00F542FD" w:rsidRPr="00F542FD" w:rsidRDefault="00F542FD" w:rsidP="000F06F3">
      <w:pPr>
        <w:spacing w:line="360" w:lineRule="auto"/>
        <w:ind w:left="1418"/>
        <w:rPr>
          <w:lang w:val="sv-FI"/>
        </w:rPr>
      </w:pPr>
      <w:r>
        <w:rPr>
          <w:lang w:val="sv-FI"/>
        </w:rPr>
        <w:t xml:space="preserve">Finländarnas andel i de ryska kolonierna steg kraftigt under 1830-talet.  </w:t>
      </w:r>
      <w:r w:rsidRPr="00F542FD">
        <w:rPr>
          <w:lang w:val="sv-FI"/>
        </w:rPr>
        <w:t>Kunniga finländare fann anställning som snickare, sjömän, befäl, tjänstemän och i två repriser även som guvernörer.</w:t>
      </w:r>
    </w:p>
    <w:p w:rsidR="00F542FD" w:rsidRPr="0017348C" w:rsidRDefault="00F542FD" w:rsidP="00F542FD">
      <w:pPr>
        <w:rPr>
          <w:rStyle w:val="st"/>
          <w:sz w:val="24"/>
          <w:szCs w:val="24"/>
        </w:rPr>
      </w:pPr>
      <w:r>
        <w:rPr>
          <w:lang w:val="sv-FI"/>
        </w:rPr>
        <w:t xml:space="preserve">De flesta finländska kolonister bodde i </w:t>
      </w:r>
      <w:proofErr w:type="spellStart"/>
      <w:r>
        <w:rPr>
          <w:lang w:val="sv-FI"/>
        </w:rPr>
        <w:t>Sitka</w:t>
      </w:r>
      <w:proofErr w:type="spellEnd"/>
      <w:r>
        <w:rPr>
          <w:lang w:val="sv-FI"/>
        </w:rPr>
        <w:t xml:space="preserve">. </w:t>
      </w:r>
      <w:r w:rsidRPr="00202BE2">
        <w:rPr>
          <w:lang w:val="sv-FI"/>
        </w:rPr>
        <w:t xml:space="preserve">De flesta av kolonister var rysk-ortodoxa, men lutheranerna var en stor grupp i förhållande till deras andel i det ryska väldet. </w:t>
      </w:r>
      <w:r>
        <w:rPr>
          <w:lang w:val="sv-FI"/>
        </w:rPr>
        <w:t xml:space="preserve"> </w:t>
      </w:r>
      <w:r>
        <w:rPr>
          <w:rStyle w:val="st"/>
          <w:sz w:val="24"/>
          <w:szCs w:val="24"/>
          <w:lang w:val="sv-FI"/>
        </w:rPr>
        <w:t xml:space="preserve">Enligt en dagboksanteckning från 1840 av Naturalisten Reinhold Sahlberg bestod kolonins befolkning av; </w:t>
      </w:r>
      <w:proofErr w:type="spellStart"/>
      <w:r w:rsidRPr="00202BE2">
        <w:rPr>
          <w:rStyle w:val="st"/>
          <w:i/>
          <w:sz w:val="24"/>
          <w:szCs w:val="24"/>
          <w:lang w:val="sv-FI"/>
        </w:rPr>
        <w:t>aleuter</w:t>
      </w:r>
      <w:proofErr w:type="spellEnd"/>
      <w:r w:rsidRPr="00202BE2">
        <w:rPr>
          <w:rStyle w:val="st"/>
          <w:i/>
          <w:sz w:val="24"/>
          <w:szCs w:val="24"/>
          <w:lang w:val="sv-FI"/>
        </w:rPr>
        <w:t xml:space="preserve">, </w:t>
      </w:r>
      <w:proofErr w:type="spellStart"/>
      <w:r w:rsidRPr="00202BE2">
        <w:rPr>
          <w:rStyle w:val="st"/>
          <w:i/>
          <w:sz w:val="24"/>
          <w:szCs w:val="24"/>
          <w:lang w:val="sv-FI"/>
        </w:rPr>
        <w:t>kolosher</w:t>
      </w:r>
      <w:proofErr w:type="spellEnd"/>
      <w:r w:rsidRPr="00202BE2">
        <w:rPr>
          <w:rStyle w:val="st"/>
          <w:i/>
          <w:sz w:val="24"/>
          <w:szCs w:val="24"/>
          <w:lang w:val="sv-FI"/>
        </w:rPr>
        <w:t xml:space="preserve"> samt egentliga kolonister</w:t>
      </w:r>
      <w:r>
        <w:rPr>
          <w:rStyle w:val="st"/>
          <w:sz w:val="24"/>
          <w:szCs w:val="24"/>
          <w:lang w:val="sv-FI"/>
        </w:rPr>
        <w:t xml:space="preserve">. Han fortsätter; </w:t>
      </w:r>
      <w:r w:rsidRPr="00202BE2">
        <w:rPr>
          <w:rStyle w:val="st"/>
          <w:i/>
          <w:sz w:val="24"/>
          <w:szCs w:val="24"/>
          <w:lang w:val="sv-FI"/>
        </w:rPr>
        <w:t>Dessa kolonister består av egentliga ryssar, dels infödingar (kreoler), dels finnar, polacker, tyskar, engelsmän, judar m.m</w:t>
      </w:r>
      <w:r>
        <w:rPr>
          <w:rStyle w:val="st"/>
          <w:sz w:val="24"/>
          <w:szCs w:val="24"/>
          <w:lang w:val="sv-FI"/>
        </w:rPr>
        <w:t xml:space="preserve">. </w:t>
      </w:r>
      <w:r w:rsidRPr="00292C2B">
        <w:rPr>
          <w:rStyle w:val="st"/>
          <w:sz w:val="24"/>
          <w:szCs w:val="24"/>
          <w:lang w:val="sv-FI"/>
        </w:rPr>
        <w:t xml:space="preserve">Sahlberg skriver </w:t>
      </w:r>
      <w:r>
        <w:rPr>
          <w:rStyle w:val="st"/>
          <w:sz w:val="24"/>
          <w:szCs w:val="24"/>
          <w:lang w:val="sv-FI"/>
        </w:rPr>
        <w:t>också att den</w:t>
      </w:r>
      <w:r w:rsidRPr="00292C2B">
        <w:rPr>
          <w:rStyle w:val="st"/>
          <w:sz w:val="24"/>
          <w:szCs w:val="24"/>
          <w:lang w:val="sv-FI"/>
        </w:rPr>
        <w:t xml:space="preserve"> lutherska</w:t>
      </w:r>
      <w:r>
        <w:rPr>
          <w:rStyle w:val="st"/>
          <w:sz w:val="24"/>
          <w:szCs w:val="24"/>
          <w:lang w:val="sv-FI"/>
        </w:rPr>
        <w:t xml:space="preserve"> församlingen som Cygnaeus var pastor över i</w:t>
      </w:r>
      <w:r w:rsidRPr="00292C2B">
        <w:rPr>
          <w:rStyle w:val="st"/>
          <w:sz w:val="24"/>
          <w:szCs w:val="24"/>
          <w:lang w:val="sv-FI"/>
        </w:rPr>
        <w:t xml:space="preserve"> </w:t>
      </w:r>
      <w:proofErr w:type="spellStart"/>
      <w:r w:rsidRPr="00292C2B">
        <w:rPr>
          <w:rStyle w:val="st"/>
          <w:sz w:val="24"/>
          <w:szCs w:val="24"/>
          <w:lang w:val="sv-FI"/>
        </w:rPr>
        <w:t>Sitka</w:t>
      </w:r>
      <w:proofErr w:type="spellEnd"/>
      <w:r w:rsidRPr="00292C2B">
        <w:rPr>
          <w:rStyle w:val="st"/>
          <w:sz w:val="24"/>
          <w:szCs w:val="24"/>
          <w:lang w:val="sv-FI"/>
        </w:rPr>
        <w:t xml:space="preserve"> hade minst 150 medlemmar från ”alla möjliga land”.</w:t>
      </w:r>
      <w:r>
        <w:rPr>
          <w:rStyle w:val="st"/>
          <w:sz w:val="24"/>
          <w:szCs w:val="24"/>
          <w:lang w:val="sv-FI"/>
        </w:rPr>
        <w:t xml:space="preserve"> </w:t>
      </w:r>
      <w:proofErr w:type="spellStart"/>
      <w:r w:rsidRPr="0017348C">
        <w:rPr>
          <w:rStyle w:val="st"/>
          <w:sz w:val="24"/>
          <w:szCs w:val="24"/>
        </w:rPr>
        <w:t>Majoriteten</w:t>
      </w:r>
      <w:proofErr w:type="spellEnd"/>
      <w:r w:rsidRPr="0017348C">
        <w:rPr>
          <w:rStyle w:val="st"/>
          <w:sz w:val="24"/>
          <w:szCs w:val="24"/>
        </w:rPr>
        <w:t xml:space="preserve"> av </w:t>
      </w:r>
      <w:proofErr w:type="spellStart"/>
      <w:r w:rsidRPr="0017348C">
        <w:rPr>
          <w:rStyle w:val="st"/>
          <w:sz w:val="24"/>
          <w:szCs w:val="24"/>
        </w:rPr>
        <w:t>dessa</w:t>
      </w:r>
      <w:proofErr w:type="spellEnd"/>
      <w:r w:rsidRPr="0017348C">
        <w:rPr>
          <w:rStyle w:val="st"/>
          <w:sz w:val="24"/>
          <w:szCs w:val="24"/>
        </w:rPr>
        <w:t xml:space="preserve"> </w:t>
      </w:r>
      <w:proofErr w:type="spellStart"/>
      <w:r w:rsidRPr="0017348C">
        <w:rPr>
          <w:rStyle w:val="st"/>
          <w:sz w:val="24"/>
          <w:szCs w:val="24"/>
        </w:rPr>
        <w:t>var</w:t>
      </w:r>
      <w:proofErr w:type="spellEnd"/>
      <w:r w:rsidRPr="0017348C">
        <w:rPr>
          <w:rStyle w:val="st"/>
          <w:sz w:val="24"/>
          <w:szCs w:val="24"/>
        </w:rPr>
        <w:t xml:space="preserve"> </w:t>
      </w:r>
      <w:proofErr w:type="spellStart"/>
      <w:r w:rsidRPr="0017348C">
        <w:rPr>
          <w:rStyle w:val="st"/>
          <w:sz w:val="24"/>
          <w:szCs w:val="24"/>
        </w:rPr>
        <w:t>finländare</w:t>
      </w:r>
      <w:proofErr w:type="spellEnd"/>
      <w:r w:rsidRPr="0017348C">
        <w:rPr>
          <w:rStyle w:val="st"/>
          <w:sz w:val="24"/>
          <w:szCs w:val="24"/>
        </w:rPr>
        <w:t xml:space="preserve">. </w:t>
      </w:r>
    </w:p>
    <w:p w:rsidR="00F542FD" w:rsidRDefault="00F542FD" w:rsidP="000F06F3">
      <w:pPr>
        <w:spacing w:line="360" w:lineRule="auto"/>
        <w:ind w:left="1418"/>
        <w:rPr>
          <w:lang w:val="sv-FI"/>
        </w:rPr>
      </w:pPr>
    </w:p>
    <w:p w:rsidR="00054193" w:rsidRDefault="003B3E30" w:rsidP="003B3E30">
      <w:pPr>
        <w:rPr>
          <w:lang w:val="sv-FI"/>
        </w:rPr>
      </w:pPr>
      <w:r>
        <w:rPr>
          <w:lang w:val="sv-FI"/>
        </w:rPr>
        <w:t xml:space="preserve">Paret gifte sig den 18 juni 1839, i september samma år seglade de iväg från Helsingfors till </w:t>
      </w:r>
      <w:proofErr w:type="spellStart"/>
      <w:r>
        <w:rPr>
          <w:lang w:val="sv-FI"/>
        </w:rPr>
        <w:t>Sitka</w:t>
      </w:r>
      <w:proofErr w:type="spellEnd"/>
      <w:r>
        <w:rPr>
          <w:lang w:val="sv-FI"/>
        </w:rPr>
        <w:t xml:space="preserve"> på segelskeppet Nikolai I. Tillsammans med dem reste även prästen Uno Cygnaeus, Dr. Ferdinand Sahlberg och hans assistent Georg Rosenberg. Johan </w:t>
      </w:r>
      <w:proofErr w:type="spellStart"/>
      <w:r>
        <w:rPr>
          <w:lang w:val="sv-FI"/>
        </w:rPr>
        <w:t>Bartram</w:t>
      </w:r>
      <w:proofErr w:type="spellEnd"/>
      <w:r>
        <w:rPr>
          <w:lang w:val="sv-FI"/>
        </w:rPr>
        <w:t xml:space="preserve"> var ombord i egenskap av skeppets löjtnant. Under resans gång föddes </w:t>
      </w:r>
      <w:proofErr w:type="spellStart"/>
      <w:r>
        <w:rPr>
          <w:lang w:val="sv-FI"/>
        </w:rPr>
        <w:t>Etholéns</w:t>
      </w:r>
      <w:proofErr w:type="spellEnd"/>
      <w:r>
        <w:rPr>
          <w:lang w:val="sv-FI"/>
        </w:rPr>
        <w:t xml:space="preserve"> första son. Under sin tid som guvernör i </w:t>
      </w:r>
      <w:proofErr w:type="spellStart"/>
      <w:r>
        <w:rPr>
          <w:lang w:val="sv-FI"/>
        </w:rPr>
        <w:t>Sitka</w:t>
      </w:r>
      <w:proofErr w:type="spellEnd"/>
      <w:r>
        <w:rPr>
          <w:lang w:val="sv-FI"/>
        </w:rPr>
        <w:t xml:space="preserve"> fortsatte Adolf </w:t>
      </w:r>
      <w:proofErr w:type="spellStart"/>
      <w:r>
        <w:rPr>
          <w:lang w:val="sv-FI"/>
        </w:rPr>
        <w:t>Etholén</w:t>
      </w:r>
      <w:proofErr w:type="spellEnd"/>
      <w:r>
        <w:rPr>
          <w:lang w:val="sv-FI"/>
        </w:rPr>
        <w:t xml:space="preserve"> med att skicka ut expeditioner för att kartlägga det nya området. Inlandets handelsrutter och naturresurser var av speciellt intresse. En av expeditionsledarna som </w:t>
      </w:r>
      <w:proofErr w:type="spellStart"/>
      <w:r>
        <w:rPr>
          <w:lang w:val="sv-FI"/>
        </w:rPr>
        <w:t>Etholén</w:t>
      </w:r>
      <w:proofErr w:type="spellEnd"/>
      <w:r>
        <w:rPr>
          <w:lang w:val="sv-FI"/>
        </w:rPr>
        <w:t xml:space="preserve"> begagnade sig av var löjtnant </w:t>
      </w:r>
      <w:proofErr w:type="spellStart"/>
      <w:r>
        <w:rPr>
          <w:lang w:val="sv-FI"/>
        </w:rPr>
        <w:t>Lavreti</w:t>
      </w:r>
      <w:proofErr w:type="spellEnd"/>
      <w:r>
        <w:rPr>
          <w:lang w:val="sv-FI"/>
        </w:rPr>
        <w:t xml:space="preserve"> </w:t>
      </w:r>
      <w:proofErr w:type="spellStart"/>
      <w:r>
        <w:rPr>
          <w:lang w:val="sv-FI"/>
        </w:rPr>
        <w:t>Zagoskin</w:t>
      </w:r>
      <w:proofErr w:type="spellEnd"/>
      <w:r>
        <w:rPr>
          <w:lang w:val="sv-FI"/>
        </w:rPr>
        <w:t xml:space="preserve">. Som guvernör var </w:t>
      </w:r>
      <w:proofErr w:type="spellStart"/>
      <w:r>
        <w:rPr>
          <w:lang w:val="sv-FI"/>
        </w:rPr>
        <w:t>Etholén</w:t>
      </w:r>
      <w:proofErr w:type="spellEnd"/>
      <w:r>
        <w:rPr>
          <w:lang w:val="sv-FI"/>
        </w:rPr>
        <w:t xml:space="preserve"> även bekymrad över ursprungsbefolkningens tillstånd, speciellt </w:t>
      </w:r>
      <w:proofErr w:type="spellStart"/>
      <w:r>
        <w:rPr>
          <w:lang w:val="sv-FI"/>
        </w:rPr>
        <w:t>aleuterna</w:t>
      </w:r>
      <w:proofErr w:type="spellEnd"/>
      <w:r>
        <w:rPr>
          <w:lang w:val="sv-FI"/>
        </w:rPr>
        <w:t xml:space="preserve"> och </w:t>
      </w:r>
      <w:proofErr w:type="spellStart"/>
      <w:r>
        <w:rPr>
          <w:lang w:val="sv-FI"/>
        </w:rPr>
        <w:t>koniagerna</w:t>
      </w:r>
      <w:proofErr w:type="spellEnd"/>
      <w:r>
        <w:rPr>
          <w:lang w:val="sv-FI"/>
        </w:rPr>
        <w:t xml:space="preserve"> vilka han ansåg ha det speciellt eländigt.</w:t>
      </w:r>
      <w:r>
        <w:rPr>
          <w:rStyle w:val="FootnoteReference"/>
          <w:lang w:val="sv-FI"/>
        </w:rPr>
        <w:footnoteReference w:id="18"/>
      </w:r>
    </w:p>
    <w:p w:rsidR="003B3E30" w:rsidRPr="003B3E30" w:rsidRDefault="003B3E30" w:rsidP="00054193">
      <w:pPr>
        <w:rPr>
          <w:lang w:val="sv-FI"/>
        </w:rPr>
      </w:pPr>
      <w:r w:rsidRPr="003B3E30">
        <w:rPr>
          <w:lang w:val="sv-FI"/>
        </w:rPr>
        <w:t xml:space="preserve">Som </w:t>
      </w:r>
      <w:proofErr w:type="spellStart"/>
      <w:r w:rsidRPr="003B3E30">
        <w:rPr>
          <w:lang w:val="sv-FI"/>
        </w:rPr>
        <w:t>nyutmämnd</w:t>
      </w:r>
      <w:proofErr w:type="spellEnd"/>
      <w:r w:rsidRPr="003B3E30">
        <w:rPr>
          <w:lang w:val="sv-FI"/>
        </w:rPr>
        <w:t xml:space="preserve"> flaggkadett kommenderades </w:t>
      </w:r>
      <w:proofErr w:type="spellStart"/>
      <w:r w:rsidRPr="003B3E30">
        <w:rPr>
          <w:lang w:val="sv-FI"/>
        </w:rPr>
        <w:t>Etholén</w:t>
      </w:r>
      <w:proofErr w:type="spellEnd"/>
      <w:r w:rsidRPr="003B3E30">
        <w:rPr>
          <w:lang w:val="sv-FI"/>
        </w:rPr>
        <w:t xml:space="preserve"> 1817 att under Vasilij </w:t>
      </w:r>
      <w:proofErr w:type="spellStart"/>
      <w:r w:rsidRPr="003B3E30">
        <w:rPr>
          <w:lang w:val="sv-FI"/>
        </w:rPr>
        <w:t>Golovnin</w:t>
      </w:r>
      <w:proofErr w:type="spellEnd"/>
      <w:r w:rsidRPr="003B3E30">
        <w:rPr>
          <w:lang w:val="sv-FI"/>
        </w:rPr>
        <w:t xml:space="preserve"> delta i en världsomsegling med örlogsslupen Kamtjatka. I Novo-Archangelsk fick han dock tjänstledigt för att övergå i rysk-amerikanska kompaniets tjänst. Som skeppskamrater på </w:t>
      </w:r>
      <w:proofErr w:type="spellStart"/>
      <w:r w:rsidRPr="003B3E30">
        <w:rPr>
          <w:lang w:val="sv-FI"/>
        </w:rPr>
        <w:t>Kamtjakta</w:t>
      </w:r>
      <w:proofErr w:type="spellEnd"/>
      <w:r w:rsidRPr="003B3E30">
        <w:rPr>
          <w:lang w:val="sv-FI"/>
        </w:rPr>
        <w:t xml:space="preserve"> fanns de sedermera berömda upptäcktsresandena Fjodor </w:t>
      </w:r>
      <w:proofErr w:type="spellStart"/>
      <w:r w:rsidRPr="003B3E30">
        <w:rPr>
          <w:lang w:val="sv-FI"/>
        </w:rPr>
        <w:t>Litke</w:t>
      </w:r>
      <w:proofErr w:type="spellEnd"/>
      <w:r w:rsidRPr="003B3E30">
        <w:rPr>
          <w:lang w:val="sv-FI"/>
        </w:rPr>
        <w:t xml:space="preserve"> och Ferdinand von Wrangel. </w:t>
      </w:r>
      <w:proofErr w:type="spellStart"/>
      <w:r w:rsidRPr="003B3E30">
        <w:rPr>
          <w:lang w:val="sv-FI"/>
        </w:rPr>
        <w:t>Etholén</w:t>
      </w:r>
      <w:proofErr w:type="spellEnd"/>
      <w:r w:rsidRPr="003B3E30">
        <w:rPr>
          <w:lang w:val="sv-FI"/>
        </w:rPr>
        <w:t xml:space="preserve"> kom sedan att delta och organisera ett tiotal forsknings- och handelsresor utmed den nordamerikanska västkusten, bl.a. namngav han Vancouver. När han besökte Åbo 1825 skänkte han en värdefull samling etnografiska föremål från nordvästra Amerika, Aleuterna och Söderhavsöarna till Åbo akademi. Men dessa förstördes i branden. År 1847 donerade han en ny samling till Helsingfors universitet, som numera återfinns på Finlands nationalmuseum.</w:t>
      </w:r>
    </w:p>
    <w:p w:rsidR="000B4CEB" w:rsidRDefault="000B4CEB" w:rsidP="000B4CEB">
      <w:pPr>
        <w:rPr>
          <w:lang w:val="sv-FI"/>
        </w:rPr>
      </w:pPr>
      <w:r>
        <w:rPr>
          <w:lang w:val="sv-FI"/>
        </w:rPr>
        <w:tab/>
      </w:r>
      <w:r>
        <w:rPr>
          <w:lang w:val="sv-FI"/>
        </w:rPr>
        <w:tab/>
      </w:r>
      <w:r>
        <w:rPr>
          <w:lang w:val="sv-FI"/>
        </w:rPr>
        <w:tab/>
      </w:r>
    </w:p>
    <w:p w:rsidR="000B4CEB" w:rsidRDefault="000B4CEB" w:rsidP="000B4CEB">
      <w:pPr>
        <w:rPr>
          <w:lang w:val="sv-FI"/>
        </w:rPr>
      </w:pPr>
    </w:p>
    <w:p w:rsidR="000B4CEB" w:rsidRDefault="000B4CEB" w:rsidP="000B4CEB">
      <w:pPr>
        <w:pStyle w:val="Heading2"/>
        <w:spacing w:line="360" w:lineRule="auto"/>
        <w:ind w:left="698" w:firstLine="720"/>
        <w:rPr>
          <w:lang w:val="sv-FI"/>
        </w:rPr>
      </w:pPr>
      <w:bookmarkStart w:id="1" w:name="_Toc10021543"/>
      <w:bookmarkStart w:id="2" w:name="_Toc7506175"/>
      <w:bookmarkStart w:id="3" w:name="_Toc7506353"/>
      <w:bookmarkStart w:id="4" w:name="_Toc21406835"/>
      <w:r>
        <w:rPr>
          <w:lang w:val="sv-FI"/>
        </w:rPr>
        <w:t>F3.1 Livsmiljön och de generella kulturdragen</w:t>
      </w:r>
      <w:bookmarkEnd w:id="1"/>
      <w:bookmarkEnd w:id="2"/>
      <w:bookmarkEnd w:id="3"/>
      <w:bookmarkEnd w:id="4"/>
      <w:r>
        <w:rPr>
          <w:lang w:val="sv-FI"/>
        </w:rPr>
        <w:t xml:space="preserve"> </w:t>
      </w:r>
    </w:p>
    <w:p w:rsidR="000B4CEB" w:rsidRDefault="000B4CEB" w:rsidP="000B4CEB">
      <w:pPr>
        <w:spacing w:line="360" w:lineRule="auto"/>
        <w:ind w:left="1418"/>
        <w:rPr>
          <w:lang w:val="sv-FI"/>
        </w:rPr>
      </w:pPr>
      <w:r>
        <w:rPr>
          <w:lang w:val="sv-FI"/>
        </w:rPr>
        <w:t xml:space="preserve">Delar av Alaska hör till det vad antropologer benämner Nordvästkustens kulturella subregion, som sträcker sig längs med stillahavskusten från norra Kalifornien till den </w:t>
      </w:r>
      <w:proofErr w:type="spellStart"/>
      <w:r>
        <w:rPr>
          <w:lang w:val="sv-FI"/>
        </w:rPr>
        <w:t>Aleutiska</w:t>
      </w:r>
      <w:proofErr w:type="spellEnd"/>
      <w:r>
        <w:rPr>
          <w:lang w:val="sv-FI"/>
        </w:rPr>
        <w:t xml:space="preserve"> ökedjan. Området är snävt, inte mera än 150 km på dess bredaste ställe, inklämt mellan havet och bergskedjan i öst. Områdets klimat är exceptionellt milt och tempererat, tack vare den varma strömmen från Japan. Bergskedjan i öst har en isolerande verkan och förhindrar den kalla luften från att tränga in från inlandet vintertid. Dessa geografiska förhållanden ger upphov till i regionen ofta förekommande tjocka dimmoln samt riklig nederbörd.</w:t>
      </w:r>
      <w:r>
        <w:rPr>
          <w:rStyle w:val="FootnoteReference"/>
          <w:lang w:val="sv-FI"/>
        </w:rPr>
        <w:footnoteReference w:id="19"/>
      </w:r>
      <w:r>
        <w:rPr>
          <w:lang w:val="sv-FI"/>
        </w:rPr>
        <w:t xml:space="preserve"> </w:t>
      </w:r>
    </w:p>
    <w:p w:rsidR="000B4CEB" w:rsidRDefault="000B4CEB" w:rsidP="000B4CEB">
      <w:pPr>
        <w:spacing w:line="360" w:lineRule="auto"/>
        <w:ind w:left="1418" w:firstLine="382"/>
        <w:rPr>
          <w:lang w:val="sv-FI"/>
        </w:rPr>
      </w:pPr>
      <w:r>
        <w:rPr>
          <w:noProof/>
          <w:sz w:val="20"/>
          <w:lang w:val="sv-FI" w:eastAsia="zh-TW"/>
        </w:rPr>
        <w:drawing>
          <wp:anchor distT="0" distB="0" distL="114300" distR="114300" simplePos="0" relativeHeight="251661312" behindDoc="0" locked="0" layoutInCell="0" allowOverlap="1">
            <wp:simplePos x="0" y="0"/>
            <wp:positionH relativeFrom="column">
              <wp:posOffset>929005</wp:posOffset>
            </wp:positionH>
            <wp:positionV relativeFrom="paragraph">
              <wp:posOffset>1054735</wp:posOffset>
            </wp:positionV>
            <wp:extent cx="4124960" cy="5586095"/>
            <wp:effectExtent l="0" t="0" r="8890" b="0"/>
            <wp:wrapTopAndBottom/>
            <wp:docPr id="2" name="Picture 2" descr="D:\Bildarkivet\gradumapp (alaska)\thompsonkinkad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ildarkivet\gradumapp (alaska)\thompsonkinkadem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960" cy="5586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sv-FI" w:eastAsia="zh-TW"/>
        </w:rPr>
        <mc:AlternateContent>
          <mc:Choice Requires="wps">
            <w:drawing>
              <wp:anchor distT="0" distB="0" distL="114300" distR="114300" simplePos="0" relativeHeight="251660288" behindDoc="0" locked="0" layoutInCell="0" allowOverlap="1">
                <wp:simplePos x="0" y="0"/>
                <wp:positionH relativeFrom="column">
                  <wp:posOffset>837565</wp:posOffset>
                </wp:positionH>
                <wp:positionV relativeFrom="paragraph">
                  <wp:posOffset>6724015</wp:posOffset>
                </wp:positionV>
                <wp:extent cx="4457700" cy="457200"/>
                <wp:effectExtent l="13335" t="5715" r="5715" b="133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rsidR="000B4CEB" w:rsidRPr="000B4CEB" w:rsidRDefault="000B4CEB" w:rsidP="000B4CEB">
                            <w:pPr>
                              <w:rPr>
                                <w:b/>
                                <w:sz w:val="20"/>
                                <w:lang w:val="sv-FI"/>
                              </w:rPr>
                            </w:pPr>
                            <w:r w:rsidRPr="000B4CEB">
                              <w:rPr>
                                <w:b/>
                                <w:sz w:val="20"/>
                                <w:lang w:val="sv-FI"/>
                              </w:rPr>
                              <w:t xml:space="preserve">Karta 1: </w:t>
                            </w:r>
                            <w:r w:rsidRPr="000B4CEB">
                              <w:rPr>
                                <w:sz w:val="20"/>
                                <w:lang w:val="sv-FI"/>
                              </w:rPr>
                              <w:t xml:space="preserve">Karta över nordvästkustens språkgrupper. </w:t>
                            </w:r>
                            <w:proofErr w:type="gramStart"/>
                            <w:r w:rsidRPr="000B4CEB">
                              <w:rPr>
                                <w:sz w:val="20"/>
                                <w:lang w:val="sv-FI"/>
                              </w:rPr>
                              <w:t>Kartbilden  till</w:t>
                            </w:r>
                            <w:proofErr w:type="gramEnd"/>
                            <w:r w:rsidRPr="000B4CEB">
                              <w:rPr>
                                <w:sz w:val="20"/>
                                <w:lang w:val="sv-FI"/>
                              </w:rPr>
                              <w:t xml:space="preserve"> vänster utgör den norra delen av kusten och den högra utgör den södra delen av kusten.</w:t>
                            </w:r>
                          </w:p>
                          <w:p w:rsidR="000B4CEB" w:rsidRPr="000B4CEB" w:rsidRDefault="000B4CEB" w:rsidP="000B4CEB">
                            <w:pPr>
                              <w:rPr>
                                <w:lang w:val="sv-FI"/>
                              </w:rPr>
                            </w:pPr>
                          </w:p>
                          <w:p w:rsidR="000B4CEB" w:rsidRPr="000B4CEB" w:rsidRDefault="000B4CEB" w:rsidP="000B4CEB">
                            <w:pPr>
                              <w:rPr>
                                <w:lang w:val="sv-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95pt;margin-top:529.45pt;width:35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" o:allowincell="f">
                <v:textbox>
                  <w:txbxContent>
                    <w:p w:rsidR="000B4CEB" w:rsidRPr="000B4CEB" w:rsidRDefault="000B4CEB" w:rsidP="000B4CEB">
                      <w:pPr>
                        <w:rPr>
                          <w:b/>
                          <w:sz w:val="20"/>
                          <w:lang w:val="sv-FI"/>
                        </w:rPr>
                      </w:pPr>
                      <w:r w:rsidRPr="000B4CEB">
                        <w:rPr>
                          <w:b/>
                          <w:sz w:val="20"/>
                          <w:lang w:val="sv-FI"/>
                        </w:rPr>
                        <w:t xml:space="preserve">Karta 1: </w:t>
                      </w:r>
                      <w:r w:rsidRPr="000B4CEB">
                        <w:rPr>
                          <w:sz w:val="20"/>
                          <w:lang w:val="sv-FI"/>
                        </w:rPr>
                        <w:t xml:space="preserve">Karta över nordvästkustens språkgrupper. </w:t>
                      </w:r>
                      <w:proofErr w:type="gramStart"/>
                      <w:r w:rsidRPr="000B4CEB">
                        <w:rPr>
                          <w:sz w:val="20"/>
                          <w:lang w:val="sv-FI"/>
                        </w:rPr>
                        <w:t>Kartbilden  till</w:t>
                      </w:r>
                      <w:proofErr w:type="gramEnd"/>
                      <w:r w:rsidRPr="000B4CEB">
                        <w:rPr>
                          <w:sz w:val="20"/>
                          <w:lang w:val="sv-FI"/>
                        </w:rPr>
                        <w:t xml:space="preserve"> vänster utgör den norra delen av kusten och den högra utgör den södra delen av kusten.</w:t>
                      </w:r>
                    </w:p>
                    <w:p w:rsidR="000B4CEB" w:rsidRPr="000B4CEB" w:rsidRDefault="000B4CEB" w:rsidP="000B4CEB">
                      <w:pPr>
                        <w:rPr>
                          <w:lang w:val="sv-FI"/>
                        </w:rPr>
                      </w:pPr>
                    </w:p>
                    <w:p w:rsidR="000B4CEB" w:rsidRPr="000B4CEB" w:rsidRDefault="000B4CEB" w:rsidP="000B4CEB">
                      <w:pPr>
                        <w:rPr>
                          <w:lang w:val="sv-FI"/>
                        </w:rPr>
                      </w:pPr>
                    </w:p>
                  </w:txbxContent>
                </v:textbox>
                <w10:wrap type="topAndBottom"/>
              </v:shape>
            </w:pict>
          </mc:Fallback>
        </mc:AlternateContent>
      </w:r>
      <w:r>
        <w:rPr>
          <w:lang w:val="sv-FI"/>
        </w:rPr>
        <w:t>Ursprungsbefolkningen i området hade förvånande lite behov av klädsel, och använde kläder snarare för att skydda sig mot regnet än mot kylan. De västra bergssidorna täcks av den tempererade regnskogen, som består av gigantiska barrträd och en tät, grönskande undervegetation. I skogarna och i bergen trivs stora mängder skogsvilt och flera näringsrika nyttoväxter. Skogarna erbjöd enorma mängder ved och byggnadsmaterial för befolkningen, samt råmaterial för korgar, rep, båtar, kläder, och mattor.</w:t>
      </w:r>
      <w:r>
        <w:rPr>
          <w:rStyle w:val="FootnoteReference"/>
          <w:lang w:val="sv-FI"/>
        </w:rPr>
        <w:footnoteReference w:id="20"/>
      </w:r>
    </w:p>
    <w:p w:rsidR="000B4CEB" w:rsidRDefault="000B4CEB" w:rsidP="000B4CEB">
      <w:pPr>
        <w:spacing w:line="360" w:lineRule="auto"/>
        <w:ind w:left="1418" w:firstLine="382"/>
        <w:rPr>
          <w:lang w:val="sv-FI"/>
        </w:rPr>
      </w:pPr>
      <w:r>
        <w:rPr>
          <w:lang w:val="sv-FI"/>
        </w:rPr>
        <w:t>Dessa människor bodde i byar längs med Stilla havets stränder. Människorna på nordvästkusten ansåg sig själva höra till en by eller till en släktgrupp som ätt, klan eller utvidgad familjegrupp. Stammen, eller den lingvistiska gruppen saknade politisk makt över gruppen. De lokala grupperna var självständiga och även om de kunde ingå allians sinsemellan agerade stammen aldrig som en enhetlig nation.</w:t>
      </w:r>
    </w:p>
    <w:p w:rsidR="000B4CEB" w:rsidRDefault="000B4CEB" w:rsidP="000B4CEB">
      <w:pPr>
        <w:spacing w:line="360" w:lineRule="auto"/>
        <w:ind w:left="1418"/>
        <w:rPr>
          <w:lang w:val="sv-FI"/>
        </w:rPr>
      </w:pPr>
      <w:r>
        <w:rPr>
          <w:lang w:val="sv-FI"/>
        </w:rPr>
        <w:t xml:space="preserve">Denna oenighet var till en enorm fördel för européerna då de i ett senare skede tog detta rika område i </w:t>
      </w:r>
      <w:proofErr w:type="gramStart"/>
      <w:r>
        <w:rPr>
          <w:lang w:val="sv-FI"/>
        </w:rPr>
        <w:t>besittning</w:t>
      </w:r>
      <w:proofErr w:type="gramEnd"/>
      <w:r>
        <w:rPr>
          <w:rStyle w:val="FootnoteReference"/>
          <w:lang w:val="sv-FI"/>
        </w:rPr>
        <w:footnoteReference w:id="21"/>
      </w:r>
      <w:r>
        <w:rPr>
          <w:lang w:val="sv-FI"/>
        </w:rPr>
        <w:t>.</w:t>
      </w:r>
    </w:p>
    <w:p w:rsidR="000B4CEB" w:rsidRDefault="000B4CEB" w:rsidP="000B4CEB">
      <w:pPr>
        <w:spacing w:line="360" w:lineRule="auto"/>
        <w:ind w:left="1418" w:firstLine="382"/>
        <w:rPr>
          <w:lang w:val="sv-FI"/>
        </w:rPr>
      </w:pPr>
      <w:r>
        <w:rPr>
          <w:lang w:val="sv-FI"/>
        </w:rPr>
        <w:t>I nordvästkustens rika miljö och varma klimatförhållanden utvecklades en hel del olika kulturer. Dessa kulturer var i många avseende likartade varandra men också olika i vissa detaljer. Ett genomgående drag för detta område är den rika andliga och ceremoniella kulturen som utvecklades bland befolkningen. Deras artistiska skapelseförmåga var utan all tvivel enorm, den innehöll bl.a. danser, sånger, legender och filosofiskt imponerande konstverk.</w:t>
      </w:r>
      <w:r>
        <w:rPr>
          <w:rStyle w:val="FootnoteReference"/>
          <w:lang w:val="sv-FI"/>
        </w:rPr>
        <w:footnoteReference w:id="22"/>
      </w:r>
    </w:p>
    <w:p w:rsidR="000B4CEB" w:rsidRDefault="000B4CEB" w:rsidP="000B4CEB">
      <w:pPr>
        <w:spacing w:line="360" w:lineRule="auto"/>
        <w:ind w:left="1418" w:firstLine="382"/>
        <w:rPr>
          <w:lang w:val="sv-FI"/>
        </w:rPr>
      </w:pPr>
      <w:r>
        <w:rPr>
          <w:lang w:val="sv-FI"/>
        </w:rPr>
        <w:t>Tatueringar var rätt vanliga kroppsprydnader, därtill förekom även olika former av ansiktsperforering samt en konstgjord kuperad formning av hjässan. För att forma hjässan lindades spädbarnens skallar kort efter födseln. Denna omformning av skallbenet förekom endast sporadiskt i området mellan Oregon och Vancouverön.</w:t>
      </w:r>
      <w:r>
        <w:rPr>
          <w:rStyle w:val="FootnoteReference"/>
          <w:lang w:val="sv-FI"/>
        </w:rPr>
        <w:footnoteReference w:id="23"/>
      </w:r>
    </w:p>
    <w:p w:rsidR="000B4CEB" w:rsidRDefault="000B4CEB" w:rsidP="000B4CEB">
      <w:pPr>
        <w:pStyle w:val="Heading3"/>
        <w:spacing w:line="360" w:lineRule="auto"/>
        <w:ind w:left="698" w:firstLine="720"/>
        <w:rPr>
          <w:lang w:val="sv-FI"/>
        </w:rPr>
      </w:pPr>
      <w:bookmarkStart w:id="5" w:name="_Toc10021544"/>
      <w:bookmarkStart w:id="6" w:name="_Toc7506176"/>
      <w:bookmarkStart w:id="7" w:name="_Toc7506354"/>
      <w:bookmarkStart w:id="8" w:name="_Toc21406836"/>
      <w:r>
        <w:rPr>
          <w:lang w:val="sv-FI"/>
        </w:rPr>
        <w:t>3.1.1 Bosättningsformen och den materiella tillgången</w:t>
      </w:r>
      <w:bookmarkEnd w:id="5"/>
      <w:bookmarkEnd w:id="6"/>
      <w:bookmarkEnd w:id="7"/>
      <w:bookmarkEnd w:id="8"/>
    </w:p>
    <w:p w:rsidR="000B4CEB" w:rsidRDefault="000B4CEB" w:rsidP="000B4CEB">
      <w:pPr>
        <w:spacing w:line="360" w:lineRule="auto"/>
        <w:ind w:left="1418"/>
        <w:rPr>
          <w:lang w:val="sv-FI"/>
        </w:rPr>
      </w:pPr>
      <w:r>
        <w:rPr>
          <w:lang w:val="sv-FI"/>
        </w:rPr>
        <w:t>Människorna bodde i många byar längs med kusten, i fjordar och andra vattendrag med direkt tillgång till havet. Områdets topografiska förhållanden försvårade landtransport och gynnade användningen av kanoter, vilka tillverkades genom att urholka stammarna på de stora cederträden.</w:t>
      </w:r>
      <w:r>
        <w:rPr>
          <w:rStyle w:val="FootnoteReference"/>
          <w:lang w:val="sv-FI"/>
        </w:rPr>
        <w:footnoteReference w:id="24"/>
      </w:r>
      <w:r>
        <w:rPr>
          <w:lang w:val="sv-FI"/>
        </w:rPr>
        <w:t xml:space="preserve"> </w:t>
      </w:r>
    </w:p>
    <w:p w:rsidR="000B4CEB" w:rsidRDefault="000B4CEB" w:rsidP="000B4CEB">
      <w:pPr>
        <w:spacing w:line="360" w:lineRule="auto"/>
        <w:ind w:left="1418" w:firstLine="382"/>
        <w:rPr>
          <w:lang w:val="sv-FI"/>
        </w:rPr>
      </w:pPr>
      <w:r>
        <w:rPr>
          <w:lang w:val="sv-FI"/>
        </w:rPr>
        <w:t>De flesta folk levde bofasta, om än i två skilda byar, en sommarby och en vinterby. Dessa bestod av i rad längs med strandlinjen byggda stora plankhus i vilka utvidgade familjegrupper bodde tillsammans. Vid flyttning från den ena byn till den andra plockades husplankorna ner och togs med i kanoterna, medan den permanenta stommen av huset fick stå kvar. Plankorna kunde även placeras tvärs över två kanoter och bilda ett praktiskt däck. Dessa byars lägen kunde förbli oförändrade under flera generationers tid. Den säsongmässiga tillgången på fisk innebar dock att man behövde en viss geografisk rörlighet.</w:t>
      </w:r>
      <w:r>
        <w:rPr>
          <w:rStyle w:val="FootnoteReference"/>
          <w:lang w:val="sv-FI"/>
        </w:rPr>
        <w:footnoteReference w:id="25"/>
      </w:r>
      <w:r>
        <w:rPr>
          <w:lang w:val="sv-FI"/>
        </w:rPr>
        <w:t xml:space="preserve"> </w:t>
      </w:r>
    </w:p>
    <w:p w:rsidR="000B4CEB" w:rsidRDefault="000B4CEB" w:rsidP="000B4CEB">
      <w:pPr>
        <w:spacing w:line="360" w:lineRule="auto"/>
        <w:ind w:left="1418" w:firstLine="382"/>
        <w:rPr>
          <w:lang w:val="sv-FI"/>
        </w:rPr>
      </w:pPr>
      <w:r>
        <w:rPr>
          <w:lang w:val="sv-FI"/>
        </w:rPr>
        <w:t xml:space="preserve">Områdets materiella kultur är </w:t>
      </w:r>
      <w:proofErr w:type="spellStart"/>
      <w:r>
        <w:rPr>
          <w:lang w:val="sv-FI"/>
        </w:rPr>
        <w:t>distinktiv</w:t>
      </w:r>
      <w:proofErr w:type="spellEnd"/>
      <w:r>
        <w:rPr>
          <w:lang w:val="sv-FI"/>
        </w:rPr>
        <w:t xml:space="preserve"> i dess välutvecklade timmerteknik. I regionen tillverkades hus, stora havsgående kanoter samt mindre föremål till vardagsbruk. Plankhus byggdes över hela regionen från västra Alaska till norra Kalifornien, och de urholkade kanoterna utnyttjades i samma område.</w:t>
      </w:r>
      <w:r>
        <w:rPr>
          <w:rStyle w:val="FootnoteReference"/>
          <w:lang w:val="sv-FI"/>
        </w:rPr>
        <w:footnoteReference w:id="26"/>
      </w:r>
    </w:p>
    <w:p w:rsidR="000B4CEB" w:rsidRDefault="000B4CEB" w:rsidP="000B4CEB">
      <w:pPr>
        <w:spacing w:line="360" w:lineRule="auto"/>
        <w:ind w:left="1418" w:firstLine="382"/>
        <w:rPr>
          <w:lang w:val="sv-FI"/>
        </w:rPr>
      </w:pPr>
      <w:r>
        <w:rPr>
          <w:lang w:val="sv-FI"/>
        </w:rPr>
        <w:t>Den rika naturen på nordvästkusten erbjöd otroliga näringstillgångar för de i området bosatta människorna. Det sägs att naturen var så rik före européernas intrång att det under laxleken var möjligt att gå torrskodd över åarna på de tätt packade fiskarnas ryggar. Befolkningen fångade lax i tonvis och torkade eller rökte dem för vinterns bruk. Säsongens överskott användes som handelsvara eller till att ordna festligheter.</w:t>
      </w:r>
    </w:p>
    <w:p w:rsidR="000B4CEB" w:rsidRDefault="000B4CEB" w:rsidP="000B4CEB">
      <w:pPr>
        <w:spacing w:line="360" w:lineRule="auto"/>
        <w:ind w:left="1418" w:firstLine="382"/>
        <w:rPr>
          <w:lang w:val="sv-FI"/>
        </w:rPr>
      </w:pPr>
      <w:r>
        <w:rPr>
          <w:lang w:val="sv-FI"/>
        </w:rPr>
        <w:t>Vid granskning av områdets näringsekonomier inser man hur rik befolkningen var i förhållande till andra jägar-och samlarfolk i Nordamerika. Näringstillgångarna varierade förstås från stam till stam, och var inte alltid rikliga. Trots det lyckades ursprungsbefolkningen i området uppnå den högsta nivå av komplexitet för jägar- och samlarekonomier. Förutom alla andra produktiva naturresurser kan man konstatera att laxfisket utgjorde stommen i den ekonomiska grunden inom hela kulturområdet.</w:t>
      </w:r>
      <w:r>
        <w:rPr>
          <w:rStyle w:val="FootnoteReference"/>
          <w:lang w:val="sv-FI"/>
        </w:rPr>
        <w:footnoteReference w:id="27"/>
      </w:r>
      <w:r>
        <w:rPr>
          <w:lang w:val="sv-FI"/>
        </w:rPr>
        <w:t xml:space="preserve">   </w:t>
      </w:r>
    </w:p>
    <w:p w:rsidR="000B4CEB" w:rsidRDefault="000B4CEB" w:rsidP="000B4CEB">
      <w:pPr>
        <w:spacing w:line="360" w:lineRule="auto"/>
        <w:ind w:left="1418" w:firstLine="382"/>
        <w:rPr>
          <w:lang w:val="sv-FI"/>
        </w:rPr>
      </w:pPr>
      <w:r>
        <w:rPr>
          <w:lang w:val="sv-FI"/>
        </w:rPr>
        <w:t>Folket i regionen utnyttjade de tillgängliga näringsresurserna effektivt genom utvecklade fångst- och konserveringsmetoder. Av fångstmetoderna är katsor, ljuster, spjut och harpuner bland de mest kända.  Den på sommaren insamlade maten lagrades inför vinterns bruk och människorna behövde inte använda vintertiden till att söka föda utan kunde bo i permanenta vinterläger i likhet med bofasta jordbrukarkulturer.</w:t>
      </w:r>
      <w:r>
        <w:rPr>
          <w:rStyle w:val="FootnoteReference"/>
          <w:lang w:val="sv-FI"/>
        </w:rPr>
        <w:footnoteReference w:id="28"/>
      </w:r>
    </w:p>
    <w:p w:rsidR="000B4CEB" w:rsidRDefault="000B4CEB" w:rsidP="000B4CEB">
      <w:pPr>
        <w:spacing w:line="360" w:lineRule="auto"/>
        <w:ind w:left="1418" w:firstLine="382"/>
        <w:rPr>
          <w:lang w:val="sv-FI"/>
        </w:rPr>
      </w:pPr>
      <w:r>
        <w:rPr>
          <w:lang w:val="sv-FI"/>
        </w:rPr>
        <w:t>Nordvästkusten utgör ett mycket tankeväckande avsteg från den ofta citerade schablonen att jägar- och samlarfolk inte kan uppnå en komplex eller hierarkisk social struktur. På grund av den goda tillgången på fisk och vegetabilier kunde den smala kustremsan bära en tät befolkning med en rik social, religiös och estetisk kultur.</w:t>
      </w:r>
      <w:r>
        <w:rPr>
          <w:rStyle w:val="FootnoteReference"/>
          <w:lang w:val="sv-FI"/>
        </w:rPr>
        <w:footnoteReference w:id="29"/>
      </w:r>
    </w:p>
    <w:p w:rsidR="000B4CEB" w:rsidRPr="000B4CEB" w:rsidRDefault="000B4CEB">
      <w:pPr>
        <w:rPr>
          <w:lang w:val="sv-FI"/>
        </w:rPr>
      </w:pPr>
    </w:p>
    <w:sectPr w:rsidR="000B4CEB" w:rsidRPr="000B4CE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1B" w:rsidRDefault="00A03C1B" w:rsidP="000B4CEB">
      <w:pPr>
        <w:spacing w:after="0" w:line="240" w:lineRule="auto"/>
      </w:pPr>
      <w:r>
        <w:separator/>
      </w:r>
    </w:p>
  </w:endnote>
  <w:endnote w:type="continuationSeparator" w:id="0">
    <w:p w:rsidR="00A03C1B" w:rsidRDefault="00A03C1B" w:rsidP="000B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1B" w:rsidRDefault="00A03C1B" w:rsidP="000B4CEB">
      <w:pPr>
        <w:spacing w:after="0" w:line="240" w:lineRule="auto"/>
      </w:pPr>
      <w:r>
        <w:separator/>
      </w:r>
    </w:p>
  </w:footnote>
  <w:footnote w:type="continuationSeparator" w:id="0">
    <w:p w:rsidR="00A03C1B" w:rsidRDefault="00A03C1B" w:rsidP="000B4CEB">
      <w:pPr>
        <w:spacing w:after="0" w:line="240" w:lineRule="auto"/>
      </w:pPr>
      <w:r>
        <w:continuationSeparator/>
      </w:r>
    </w:p>
  </w:footnote>
  <w:footnote w:id="1">
    <w:p w:rsidR="000B4CEB" w:rsidRDefault="000B4CEB" w:rsidP="000B4CEB">
      <w:pPr>
        <w:pStyle w:val="FootnoteText"/>
        <w:ind w:left="1440"/>
        <w:rPr>
          <w:lang w:val="en-US"/>
        </w:rPr>
      </w:pPr>
      <w:r>
        <w:rPr>
          <w:rStyle w:val="FootnoteReference"/>
        </w:rPr>
        <w:footnoteRef/>
      </w:r>
      <w:r>
        <w:rPr>
          <w:lang w:val="en-US"/>
        </w:rPr>
        <w:t xml:space="preserve"> Holmberg 1985:73 </w:t>
      </w:r>
    </w:p>
  </w:footnote>
  <w:footnote w:id="2">
    <w:p w:rsidR="000B4CEB" w:rsidRDefault="000B4CEB" w:rsidP="000B4CEB">
      <w:pPr>
        <w:pStyle w:val="FootnoteText"/>
        <w:ind w:left="1440"/>
      </w:pPr>
      <w:r>
        <w:rPr>
          <w:rStyle w:val="FootnoteReference"/>
        </w:rPr>
        <w:t>5</w:t>
      </w:r>
      <w:r>
        <w:t xml:space="preserve"> Gibson 1980:165-6</w:t>
      </w:r>
    </w:p>
  </w:footnote>
  <w:footnote w:id="3">
    <w:p w:rsidR="000B4CEB" w:rsidRDefault="000B4CEB" w:rsidP="000B4CEB">
      <w:pPr>
        <w:pStyle w:val="FootnoteText"/>
        <w:ind w:left="1440"/>
      </w:pPr>
      <w:r>
        <w:rPr>
          <w:rStyle w:val="FootnoteReference"/>
        </w:rPr>
        <w:footnoteRef/>
      </w:r>
      <w:r>
        <w:t xml:space="preserve"> Gibson 1980: 166</w:t>
      </w:r>
    </w:p>
  </w:footnote>
  <w:footnote w:id="4">
    <w:p w:rsidR="000B4CEB" w:rsidRDefault="000B4CEB" w:rsidP="000B4CEB">
      <w:pPr>
        <w:pStyle w:val="FootnoteText"/>
        <w:ind w:left="1440"/>
      </w:pPr>
      <w:r>
        <w:rPr>
          <w:rStyle w:val="FootnoteReference"/>
        </w:rPr>
        <w:footnoteRef/>
      </w:r>
      <w:r>
        <w:t xml:space="preserve"> Ibid</w:t>
      </w:r>
    </w:p>
  </w:footnote>
  <w:footnote w:id="5">
    <w:p w:rsidR="000B4CEB" w:rsidRDefault="000B4CEB" w:rsidP="000B4CEB">
      <w:pPr>
        <w:pStyle w:val="FootnoteText"/>
        <w:ind w:left="1440"/>
      </w:pPr>
      <w:r>
        <w:rPr>
          <w:rStyle w:val="FootnoteReference"/>
        </w:rPr>
        <w:footnoteRef/>
      </w:r>
      <w:r>
        <w:t xml:space="preserve"> Holmberg 1985:73-81</w:t>
      </w:r>
    </w:p>
  </w:footnote>
  <w:footnote w:id="6">
    <w:p w:rsidR="000B4CEB" w:rsidRDefault="000B4CEB" w:rsidP="000B4CEB">
      <w:pPr>
        <w:pStyle w:val="FootnoteText"/>
        <w:ind w:left="1440"/>
      </w:pPr>
      <w:r>
        <w:rPr>
          <w:rStyle w:val="FootnoteReference"/>
        </w:rPr>
        <w:footnoteRef/>
      </w:r>
      <w:r>
        <w:t xml:space="preserve"> Gibson 1980:168-70</w:t>
      </w:r>
    </w:p>
  </w:footnote>
  <w:footnote w:id="7">
    <w:p w:rsidR="000B4CEB" w:rsidRDefault="000B4CEB" w:rsidP="000B4CEB">
      <w:pPr>
        <w:pStyle w:val="FootnoteText"/>
        <w:ind w:left="1440"/>
      </w:pPr>
      <w:r>
        <w:rPr>
          <w:rStyle w:val="FootnoteReference"/>
        </w:rPr>
        <w:footnoteRef/>
      </w:r>
      <w:r>
        <w:t xml:space="preserve"> Ibid</w:t>
      </w:r>
    </w:p>
  </w:footnote>
  <w:footnote w:id="8">
    <w:p w:rsidR="00054193" w:rsidRDefault="00054193" w:rsidP="00054193">
      <w:pPr>
        <w:pStyle w:val="FootnoteText"/>
        <w:ind w:left="1440"/>
      </w:pPr>
      <w:r>
        <w:rPr>
          <w:rStyle w:val="FootnoteReference"/>
        </w:rPr>
        <w:footnoteRef/>
      </w:r>
      <w:r>
        <w:t xml:space="preserve"> Gibson 1980: 172, Pierce 1990:20-22</w:t>
      </w:r>
    </w:p>
  </w:footnote>
  <w:footnote w:id="9">
    <w:p w:rsidR="00054193" w:rsidRDefault="00054193" w:rsidP="00054193">
      <w:pPr>
        <w:pStyle w:val="FootnoteText"/>
        <w:ind w:left="1440"/>
      </w:pPr>
      <w:r>
        <w:rPr>
          <w:rStyle w:val="FootnoteReference"/>
        </w:rPr>
        <w:footnoteRef/>
      </w:r>
      <w:r>
        <w:t xml:space="preserve"> Gibson 1980:172</w:t>
      </w:r>
    </w:p>
  </w:footnote>
  <w:footnote w:id="10">
    <w:p w:rsidR="00054193" w:rsidRDefault="00054193" w:rsidP="00054193">
      <w:pPr>
        <w:pStyle w:val="FootnoteText"/>
        <w:ind w:left="1440"/>
      </w:pPr>
      <w:r>
        <w:rPr>
          <w:rStyle w:val="FootnoteReference"/>
        </w:rPr>
        <w:footnoteRef/>
      </w:r>
      <w:r>
        <w:t xml:space="preserve"> Gibson 1980:172-4</w:t>
      </w:r>
    </w:p>
  </w:footnote>
  <w:footnote w:id="11">
    <w:p w:rsidR="00054193" w:rsidRDefault="00054193" w:rsidP="00054193">
      <w:pPr>
        <w:pStyle w:val="FootnoteText"/>
        <w:ind w:left="1440"/>
      </w:pPr>
      <w:r>
        <w:rPr>
          <w:rStyle w:val="FootnoteReference"/>
        </w:rPr>
        <w:footnoteRef/>
      </w:r>
      <w:r>
        <w:t xml:space="preserve"> Ibid</w:t>
      </w:r>
    </w:p>
  </w:footnote>
  <w:footnote w:id="12">
    <w:p w:rsidR="00054193" w:rsidRDefault="00054193" w:rsidP="00054193">
      <w:pPr>
        <w:pStyle w:val="FootnoteText"/>
        <w:ind w:left="1440"/>
      </w:pPr>
      <w:r>
        <w:rPr>
          <w:rStyle w:val="FootnoteReference"/>
        </w:rPr>
        <w:footnoteRef/>
      </w:r>
      <w:r>
        <w:t xml:space="preserve"> Ibid</w:t>
      </w:r>
    </w:p>
  </w:footnote>
  <w:footnote w:id="13">
    <w:p w:rsidR="00054193" w:rsidRDefault="00054193" w:rsidP="00054193">
      <w:pPr>
        <w:pStyle w:val="FootnoteText"/>
        <w:ind w:left="1440"/>
      </w:pPr>
      <w:r>
        <w:rPr>
          <w:rStyle w:val="FootnoteReference"/>
        </w:rPr>
        <w:footnoteRef/>
      </w:r>
      <w:r>
        <w:t xml:space="preserve"> Gibson 1980:175, Holmberg 1985:89-92, Pierce 1990:20-22, </w:t>
      </w:r>
      <w:proofErr w:type="spellStart"/>
      <w:r>
        <w:t>Furuhjelm</w:t>
      </w:r>
      <w:proofErr w:type="spellEnd"/>
      <w:r>
        <w:t xml:space="preserve"> 1932:66-7</w:t>
      </w:r>
    </w:p>
  </w:footnote>
  <w:footnote w:id="14">
    <w:p w:rsidR="00054193" w:rsidRDefault="00054193" w:rsidP="00054193">
      <w:pPr>
        <w:pStyle w:val="FootnoteText"/>
        <w:ind w:left="1440"/>
      </w:pPr>
      <w:r>
        <w:rPr>
          <w:rStyle w:val="FootnoteReference"/>
        </w:rPr>
        <w:footnoteRef/>
      </w:r>
      <w:r>
        <w:t xml:space="preserve"> Gibson 1980:175, Holmberg 1985:89, Pierce 1990:20-22</w:t>
      </w:r>
    </w:p>
  </w:footnote>
  <w:footnote w:id="15">
    <w:p w:rsidR="003B3E30" w:rsidRDefault="003B3E30" w:rsidP="003B3E30">
      <w:pPr>
        <w:pStyle w:val="FootnoteText"/>
        <w:ind w:left="1440"/>
        <w:rPr>
          <w:lang w:val="en-US"/>
        </w:rPr>
      </w:pPr>
      <w:r>
        <w:rPr>
          <w:rStyle w:val="FootnoteReference"/>
        </w:rPr>
        <w:footnoteRef/>
      </w:r>
      <w:r>
        <w:rPr>
          <w:lang w:val="en-US"/>
        </w:rPr>
        <w:t xml:space="preserve"> Pierce 1990:136, </w:t>
      </w:r>
      <w:proofErr w:type="spellStart"/>
      <w:r>
        <w:rPr>
          <w:lang w:val="en-US"/>
        </w:rPr>
        <w:t>Varjola</w:t>
      </w:r>
      <w:proofErr w:type="spellEnd"/>
      <w:r>
        <w:rPr>
          <w:lang w:val="en-US"/>
        </w:rPr>
        <w:t xml:space="preserve"> 1990:13-14</w:t>
      </w:r>
    </w:p>
  </w:footnote>
  <w:footnote w:id="16">
    <w:p w:rsidR="003B3E30" w:rsidRDefault="003B3E30" w:rsidP="003B3E30">
      <w:pPr>
        <w:pStyle w:val="FootnoteText"/>
        <w:ind w:left="1440"/>
        <w:rPr>
          <w:lang w:val="fi-FI"/>
        </w:rPr>
      </w:pPr>
      <w:r>
        <w:rPr>
          <w:rStyle w:val="FootnoteReference"/>
        </w:rPr>
        <w:footnoteRef/>
      </w:r>
      <w:r>
        <w:rPr>
          <w:lang w:val="fi-FI"/>
        </w:rPr>
        <w:t xml:space="preserve"> </w:t>
      </w:r>
      <w:proofErr w:type="spellStart"/>
      <w:r>
        <w:rPr>
          <w:lang w:val="fi-FI"/>
        </w:rPr>
        <w:t>Pierce</w:t>
      </w:r>
      <w:proofErr w:type="spellEnd"/>
      <w:r>
        <w:rPr>
          <w:lang w:val="fi-FI"/>
        </w:rPr>
        <w:t xml:space="preserve"> 1990:136</w:t>
      </w:r>
    </w:p>
  </w:footnote>
  <w:footnote w:id="17">
    <w:p w:rsidR="003B3E30" w:rsidRDefault="003B3E30" w:rsidP="003B3E30">
      <w:pPr>
        <w:pStyle w:val="FootnoteText"/>
        <w:ind w:left="1440"/>
        <w:rPr>
          <w:lang w:val="fi-FI"/>
        </w:rPr>
      </w:pPr>
      <w:r>
        <w:rPr>
          <w:rStyle w:val="FootnoteReference"/>
        </w:rPr>
        <w:footnoteRef/>
      </w:r>
      <w:r>
        <w:rPr>
          <w:lang w:val="fi-FI"/>
        </w:rPr>
        <w:t xml:space="preserve"> Furuhjelm 1932:79, Varjola 1990:15</w:t>
      </w:r>
    </w:p>
  </w:footnote>
  <w:footnote w:id="18">
    <w:p w:rsidR="003B3E30" w:rsidRDefault="003B3E30" w:rsidP="003B3E30">
      <w:pPr>
        <w:pStyle w:val="FootnoteText"/>
        <w:ind w:left="1440"/>
        <w:rPr>
          <w:lang w:val="fi-FI"/>
        </w:rPr>
      </w:pPr>
      <w:r>
        <w:rPr>
          <w:rStyle w:val="FootnoteReference"/>
        </w:rPr>
        <w:footnoteRef/>
      </w:r>
      <w:r>
        <w:rPr>
          <w:lang w:val="fi-FI"/>
        </w:rPr>
        <w:t xml:space="preserve"> Varjola </w:t>
      </w:r>
      <w:proofErr w:type="gramStart"/>
      <w:r>
        <w:rPr>
          <w:lang w:val="fi-FI"/>
        </w:rPr>
        <w:t>1990:17-18</w:t>
      </w:r>
      <w:proofErr w:type="gramEnd"/>
    </w:p>
  </w:footnote>
  <w:footnote w:id="19">
    <w:p w:rsidR="000B4CEB" w:rsidRPr="009C61B0" w:rsidRDefault="000B4CEB" w:rsidP="000B4CEB">
      <w:pPr>
        <w:pStyle w:val="FootnoteText"/>
        <w:ind w:left="1440"/>
        <w:rPr>
          <w:lang w:val="sv-FI"/>
        </w:rPr>
      </w:pPr>
      <w:r>
        <w:rPr>
          <w:rStyle w:val="FootnoteReference"/>
        </w:rPr>
        <w:footnoteRef/>
      </w:r>
      <w:r w:rsidRPr="009C61B0">
        <w:rPr>
          <w:lang w:val="sv-FI"/>
        </w:rPr>
        <w:t xml:space="preserve"> Gibson 1980: 82-83</w:t>
      </w:r>
    </w:p>
  </w:footnote>
  <w:footnote w:id="20">
    <w:p w:rsidR="000B4CEB" w:rsidRDefault="000B4CEB" w:rsidP="000B4CEB">
      <w:pPr>
        <w:pStyle w:val="FootnoteText"/>
        <w:ind w:left="1440"/>
      </w:pPr>
      <w:r>
        <w:rPr>
          <w:rStyle w:val="FootnoteReference"/>
        </w:rPr>
        <w:footnoteRef/>
      </w:r>
      <w:r>
        <w:t xml:space="preserve"> </w:t>
      </w:r>
      <w:proofErr w:type="spellStart"/>
      <w:r>
        <w:t>Garbarino</w:t>
      </w:r>
      <w:proofErr w:type="spellEnd"/>
      <w:r>
        <w:t xml:space="preserve"> &amp; </w:t>
      </w:r>
      <w:proofErr w:type="spellStart"/>
      <w:r>
        <w:t>Sasso</w:t>
      </w:r>
      <w:proofErr w:type="spellEnd"/>
      <w:r>
        <w:t xml:space="preserve"> 1994: 155-56</w:t>
      </w:r>
    </w:p>
  </w:footnote>
  <w:footnote w:id="21">
    <w:p w:rsidR="000B4CEB" w:rsidRDefault="000B4CEB" w:rsidP="000B4CEB">
      <w:pPr>
        <w:pStyle w:val="FootnoteText"/>
        <w:ind w:left="1440"/>
      </w:pPr>
      <w:r>
        <w:rPr>
          <w:rStyle w:val="FootnoteReference"/>
        </w:rPr>
        <w:footnoteRef/>
      </w:r>
      <w:r>
        <w:t xml:space="preserve"> </w:t>
      </w:r>
      <w:proofErr w:type="spellStart"/>
      <w:r>
        <w:t>Garbarino</w:t>
      </w:r>
      <w:proofErr w:type="spellEnd"/>
      <w:r>
        <w:t xml:space="preserve"> &amp; </w:t>
      </w:r>
      <w:proofErr w:type="spellStart"/>
      <w:r>
        <w:t>Sasso</w:t>
      </w:r>
      <w:proofErr w:type="spellEnd"/>
      <w:r>
        <w:t xml:space="preserve"> 1994: 160-1</w:t>
      </w:r>
    </w:p>
  </w:footnote>
  <w:footnote w:id="22">
    <w:p w:rsidR="000B4CEB" w:rsidRDefault="000B4CEB" w:rsidP="000B4CEB">
      <w:pPr>
        <w:pStyle w:val="FootnoteText"/>
        <w:ind w:left="1440"/>
      </w:pPr>
      <w:r>
        <w:rPr>
          <w:rStyle w:val="FootnoteReference"/>
        </w:rPr>
        <w:footnoteRef/>
      </w:r>
      <w:r>
        <w:t xml:space="preserve"> Taylor &amp; Sturtevant 1991: 154</w:t>
      </w:r>
    </w:p>
  </w:footnote>
  <w:footnote w:id="23">
    <w:p w:rsidR="000B4CEB" w:rsidRPr="000B4CEB" w:rsidRDefault="000B4CEB" w:rsidP="000B4CEB">
      <w:pPr>
        <w:pStyle w:val="FootnoteText"/>
        <w:ind w:left="1440"/>
      </w:pPr>
      <w:r>
        <w:rPr>
          <w:rStyle w:val="FootnoteReference"/>
        </w:rPr>
        <w:footnoteRef/>
      </w:r>
      <w:r w:rsidRPr="000B4CEB">
        <w:t xml:space="preserve"> </w:t>
      </w:r>
      <w:proofErr w:type="spellStart"/>
      <w:r w:rsidRPr="000B4CEB">
        <w:t>Virrankoski</w:t>
      </w:r>
      <w:proofErr w:type="spellEnd"/>
      <w:r w:rsidRPr="000B4CEB">
        <w:t xml:space="preserve"> 1994: 325</w:t>
      </w:r>
    </w:p>
  </w:footnote>
  <w:footnote w:id="24">
    <w:p w:rsidR="000B4CEB" w:rsidRPr="000B4CEB" w:rsidRDefault="000B4CEB" w:rsidP="000B4CEB">
      <w:pPr>
        <w:pStyle w:val="FootnoteText"/>
        <w:ind w:left="1440"/>
      </w:pPr>
      <w:r>
        <w:rPr>
          <w:rStyle w:val="FootnoteReference"/>
        </w:rPr>
        <w:footnoteRef/>
      </w:r>
      <w:r w:rsidRPr="000B4CEB">
        <w:t xml:space="preserve"> </w:t>
      </w:r>
      <w:proofErr w:type="spellStart"/>
      <w:r w:rsidRPr="000B4CEB">
        <w:t>Garbarino</w:t>
      </w:r>
      <w:proofErr w:type="spellEnd"/>
      <w:r w:rsidRPr="000B4CEB">
        <w:t xml:space="preserve"> &amp; </w:t>
      </w:r>
      <w:proofErr w:type="spellStart"/>
      <w:r w:rsidRPr="000B4CEB">
        <w:t>Sasso</w:t>
      </w:r>
      <w:proofErr w:type="spellEnd"/>
      <w:r w:rsidRPr="000B4CEB">
        <w:t xml:space="preserve"> 1994: 157-58</w:t>
      </w:r>
    </w:p>
  </w:footnote>
  <w:footnote w:id="25">
    <w:p w:rsidR="000B4CEB" w:rsidRDefault="000B4CEB" w:rsidP="000B4CEB">
      <w:pPr>
        <w:pStyle w:val="FootnoteText"/>
        <w:ind w:left="1440"/>
      </w:pPr>
      <w:r>
        <w:rPr>
          <w:rStyle w:val="FootnoteReference"/>
        </w:rPr>
        <w:footnoteRef/>
      </w:r>
      <w:r>
        <w:t xml:space="preserve"> Taylor &amp; Sturtevant 1991:155, </w:t>
      </w:r>
      <w:proofErr w:type="spellStart"/>
      <w:r>
        <w:t>Alvarsson</w:t>
      </w:r>
      <w:proofErr w:type="spellEnd"/>
      <w:r>
        <w:t xml:space="preserve"> 1997:91, </w:t>
      </w:r>
      <w:proofErr w:type="spellStart"/>
      <w:r>
        <w:t>Garbarino</w:t>
      </w:r>
      <w:proofErr w:type="spellEnd"/>
      <w:r>
        <w:t xml:space="preserve"> &amp; </w:t>
      </w:r>
      <w:proofErr w:type="spellStart"/>
      <w:r>
        <w:t>Sasso</w:t>
      </w:r>
      <w:proofErr w:type="spellEnd"/>
      <w:r>
        <w:t xml:space="preserve"> 1994: 158-159</w:t>
      </w:r>
    </w:p>
  </w:footnote>
  <w:footnote w:id="26">
    <w:p w:rsidR="000B4CEB" w:rsidRDefault="000B4CEB" w:rsidP="000B4CEB">
      <w:pPr>
        <w:pStyle w:val="FootnoteText"/>
        <w:ind w:left="1440"/>
      </w:pPr>
      <w:r>
        <w:rPr>
          <w:rStyle w:val="FootnoteReference"/>
        </w:rPr>
        <w:footnoteRef/>
      </w:r>
      <w:r>
        <w:t xml:space="preserve"> </w:t>
      </w:r>
      <w:proofErr w:type="spellStart"/>
      <w:r>
        <w:t>Suttles</w:t>
      </w:r>
      <w:proofErr w:type="spellEnd"/>
      <w:r>
        <w:t xml:space="preserve"> 1990:4</w:t>
      </w:r>
    </w:p>
  </w:footnote>
  <w:footnote w:id="27">
    <w:p w:rsidR="000B4CEB" w:rsidRDefault="000B4CEB" w:rsidP="000B4CEB">
      <w:pPr>
        <w:pStyle w:val="FootnoteText"/>
        <w:ind w:left="1440"/>
      </w:pPr>
      <w:r>
        <w:rPr>
          <w:rStyle w:val="FootnoteReference"/>
        </w:rPr>
        <w:footnoteRef/>
      </w:r>
      <w:r>
        <w:t xml:space="preserve"> </w:t>
      </w:r>
      <w:proofErr w:type="spellStart"/>
      <w:r>
        <w:t>Garbarino</w:t>
      </w:r>
      <w:proofErr w:type="spellEnd"/>
      <w:r>
        <w:t xml:space="preserve"> &amp; </w:t>
      </w:r>
      <w:proofErr w:type="spellStart"/>
      <w:r>
        <w:t>Sasso</w:t>
      </w:r>
      <w:proofErr w:type="spellEnd"/>
      <w:r>
        <w:t xml:space="preserve"> 1994: 157</w:t>
      </w:r>
    </w:p>
  </w:footnote>
  <w:footnote w:id="28">
    <w:p w:rsidR="000B4CEB" w:rsidRDefault="000B4CEB" w:rsidP="000B4CEB">
      <w:pPr>
        <w:pStyle w:val="FootnoteText"/>
        <w:ind w:left="1440"/>
      </w:pPr>
      <w:r>
        <w:rPr>
          <w:rStyle w:val="FootnoteReference"/>
        </w:rPr>
        <w:footnoteRef/>
      </w:r>
      <w:r>
        <w:t xml:space="preserve"> Taylor &amp; Sturtevant 1991:155</w:t>
      </w:r>
    </w:p>
  </w:footnote>
  <w:footnote w:id="29">
    <w:p w:rsidR="000B4CEB" w:rsidRDefault="000B4CEB" w:rsidP="000B4CEB">
      <w:pPr>
        <w:pStyle w:val="FootnoteText"/>
        <w:ind w:left="1440"/>
        <w:rPr>
          <w:lang w:val="en-US"/>
        </w:rPr>
      </w:pPr>
      <w:r>
        <w:rPr>
          <w:rStyle w:val="FootnoteReference"/>
        </w:rPr>
        <w:footnoteRef/>
      </w:r>
      <w:r>
        <w:rPr>
          <w:lang w:val="en-US"/>
        </w:rPr>
        <w:t xml:space="preserve"> </w:t>
      </w:r>
      <w:proofErr w:type="spellStart"/>
      <w:r>
        <w:rPr>
          <w:lang w:val="en-US"/>
        </w:rPr>
        <w:t>Alvarsson</w:t>
      </w:r>
      <w:proofErr w:type="spellEnd"/>
      <w:r>
        <w:rPr>
          <w:lang w:val="en-US"/>
        </w:rPr>
        <w:t xml:space="preserve"> 1997:91-92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EB"/>
    <w:rsid w:val="00043497"/>
    <w:rsid w:val="00054193"/>
    <w:rsid w:val="000B4CEB"/>
    <w:rsid w:val="000F06F3"/>
    <w:rsid w:val="00126A1A"/>
    <w:rsid w:val="002D75F3"/>
    <w:rsid w:val="003B2992"/>
    <w:rsid w:val="003B3E30"/>
    <w:rsid w:val="00663FE8"/>
    <w:rsid w:val="007056DA"/>
    <w:rsid w:val="007767A6"/>
    <w:rsid w:val="00813BD7"/>
    <w:rsid w:val="00842C9A"/>
    <w:rsid w:val="008D7300"/>
    <w:rsid w:val="00985B02"/>
    <w:rsid w:val="009B28F8"/>
    <w:rsid w:val="009C61B0"/>
    <w:rsid w:val="00A03C1B"/>
    <w:rsid w:val="00B05611"/>
    <w:rsid w:val="00D96344"/>
    <w:rsid w:val="00E2135B"/>
    <w:rsid w:val="00F542FD"/>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4CEB"/>
    <w:pPr>
      <w:keepNext/>
      <w:spacing w:after="0" w:line="360" w:lineRule="auto"/>
      <w:ind w:left="1418"/>
      <w:outlineLvl w:val="0"/>
    </w:pPr>
    <w:rPr>
      <w:rFonts w:ascii="Times New Roman" w:eastAsia="Times New Roman" w:hAnsi="Times New Roman" w:cs="Times New Roman"/>
      <w:sz w:val="28"/>
      <w:szCs w:val="20"/>
      <w:lang w:val="sv-SE"/>
    </w:rPr>
  </w:style>
  <w:style w:type="paragraph" w:styleId="Heading2">
    <w:name w:val="heading 2"/>
    <w:basedOn w:val="Normal"/>
    <w:next w:val="Normal"/>
    <w:link w:val="Heading2Char"/>
    <w:qFormat/>
    <w:rsid w:val="000B4CEB"/>
    <w:pPr>
      <w:keepNext/>
      <w:spacing w:before="240" w:after="60" w:line="240" w:lineRule="auto"/>
      <w:outlineLvl w:val="1"/>
    </w:pPr>
    <w:rPr>
      <w:rFonts w:ascii="Arial" w:eastAsia="Times New Roman" w:hAnsi="Arial" w:cs="Times New Roman"/>
      <w:b/>
      <w:i/>
      <w:sz w:val="24"/>
      <w:szCs w:val="20"/>
      <w:lang w:val="sv-SE"/>
    </w:rPr>
  </w:style>
  <w:style w:type="paragraph" w:styleId="Heading3">
    <w:name w:val="heading 3"/>
    <w:basedOn w:val="Normal"/>
    <w:next w:val="Normal"/>
    <w:link w:val="Heading3Char"/>
    <w:qFormat/>
    <w:rsid w:val="000B4CEB"/>
    <w:pPr>
      <w:keepNext/>
      <w:spacing w:before="240" w:after="60" w:line="240" w:lineRule="auto"/>
      <w:outlineLvl w:val="2"/>
    </w:pPr>
    <w:rPr>
      <w:rFonts w:ascii="Arial" w:eastAsia="Times New Roman" w:hAnsi="Arial" w:cs="Times New Roman"/>
      <w:sz w:val="24"/>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CEB"/>
    <w:rPr>
      <w:rFonts w:ascii="Times New Roman" w:eastAsia="Times New Roman" w:hAnsi="Times New Roman" w:cs="Times New Roman"/>
      <w:sz w:val="28"/>
      <w:szCs w:val="20"/>
      <w:lang w:val="sv-SE"/>
    </w:rPr>
  </w:style>
  <w:style w:type="character" w:customStyle="1" w:styleId="Heading2Char">
    <w:name w:val="Heading 2 Char"/>
    <w:basedOn w:val="DefaultParagraphFont"/>
    <w:link w:val="Heading2"/>
    <w:rsid w:val="000B4CEB"/>
    <w:rPr>
      <w:rFonts w:ascii="Arial" w:eastAsia="Times New Roman" w:hAnsi="Arial" w:cs="Times New Roman"/>
      <w:b/>
      <w:i/>
      <w:sz w:val="24"/>
      <w:szCs w:val="20"/>
      <w:lang w:val="sv-SE"/>
    </w:rPr>
  </w:style>
  <w:style w:type="character" w:customStyle="1" w:styleId="Heading3Char">
    <w:name w:val="Heading 3 Char"/>
    <w:basedOn w:val="DefaultParagraphFont"/>
    <w:link w:val="Heading3"/>
    <w:rsid w:val="000B4CEB"/>
    <w:rPr>
      <w:rFonts w:ascii="Arial" w:eastAsia="Times New Roman" w:hAnsi="Arial" w:cs="Times New Roman"/>
      <w:sz w:val="24"/>
      <w:szCs w:val="20"/>
      <w:lang w:val="sv-SE"/>
    </w:rPr>
  </w:style>
  <w:style w:type="character" w:styleId="FootnoteReference">
    <w:name w:val="footnote reference"/>
    <w:basedOn w:val="DefaultParagraphFont"/>
    <w:semiHidden/>
    <w:rsid w:val="000B4CEB"/>
    <w:rPr>
      <w:vertAlign w:val="superscript"/>
    </w:rPr>
  </w:style>
  <w:style w:type="paragraph" w:styleId="Index1">
    <w:name w:val="index 1"/>
    <w:basedOn w:val="Normal"/>
    <w:next w:val="Normal"/>
    <w:autoRedefine/>
    <w:uiPriority w:val="99"/>
    <w:semiHidden/>
    <w:unhideWhenUsed/>
    <w:rsid w:val="000B4CEB"/>
    <w:pPr>
      <w:spacing w:after="0" w:line="240" w:lineRule="auto"/>
      <w:ind w:left="220" w:hanging="220"/>
    </w:pPr>
  </w:style>
  <w:style w:type="paragraph" w:styleId="IndexHeading">
    <w:name w:val="index heading"/>
    <w:basedOn w:val="Normal"/>
    <w:next w:val="Index1"/>
    <w:semiHidden/>
    <w:rsid w:val="000B4CEB"/>
    <w:pPr>
      <w:spacing w:after="0" w:line="240" w:lineRule="auto"/>
    </w:pPr>
    <w:rPr>
      <w:rFonts w:ascii="Times New Roman" w:eastAsia="Times New Roman" w:hAnsi="Times New Roman" w:cs="Times New Roman"/>
      <w:sz w:val="24"/>
      <w:szCs w:val="20"/>
      <w:lang w:val="sv-SE"/>
    </w:rPr>
  </w:style>
  <w:style w:type="paragraph" w:styleId="FootnoteText">
    <w:name w:val="footnote text"/>
    <w:basedOn w:val="Normal"/>
    <w:link w:val="FootnoteTextChar"/>
    <w:semiHidden/>
    <w:rsid w:val="000B4CE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0B4CEB"/>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0B4CEB"/>
    <w:pPr>
      <w:spacing w:after="0" w:line="360" w:lineRule="auto"/>
    </w:pPr>
    <w:rPr>
      <w:rFonts w:ascii="Times New Roman" w:eastAsia="Times New Roman" w:hAnsi="Times New Roman" w:cs="Times New Roman"/>
      <w:sz w:val="20"/>
      <w:szCs w:val="20"/>
      <w:lang w:val="sv-SE"/>
    </w:rPr>
  </w:style>
  <w:style w:type="character" w:customStyle="1" w:styleId="BodyText3Char">
    <w:name w:val="Body Text 3 Char"/>
    <w:basedOn w:val="DefaultParagraphFont"/>
    <w:link w:val="BodyText3"/>
    <w:semiHidden/>
    <w:rsid w:val="000B4CEB"/>
    <w:rPr>
      <w:rFonts w:ascii="Times New Roman" w:eastAsia="Times New Roman" w:hAnsi="Times New Roman" w:cs="Times New Roman"/>
      <w:sz w:val="20"/>
      <w:szCs w:val="20"/>
      <w:lang w:val="sv-SE"/>
    </w:rPr>
  </w:style>
  <w:style w:type="character" w:customStyle="1" w:styleId="st">
    <w:name w:val="st"/>
    <w:basedOn w:val="DefaultParagraphFont"/>
    <w:rsid w:val="00F542FD"/>
  </w:style>
  <w:style w:type="paragraph" w:styleId="BalloonText">
    <w:name w:val="Balloon Text"/>
    <w:basedOn w:val="Normal"/>
    <w:link w:val="BalloonTextChar"/>
    <w:uiPriority w:val="99"/>
    <w:semiHidden/>
    <w:unhideWhenUsed/>
    <w:rsid w:val="00663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4CEB"/>
    <w:pPr>
      <w:keepNext/>
      <w:spacing w:after="0" w:line="360" w:lineRule="auto"/>
      <w:ind w:left="1418"/>
      <w:outlineLvl w:val="0"/>
    </w:pPr>
    <w:rPr>
      <w:rFonts w:ascii="Times New Roman" w:eastAsia="Times New Roman" w:hAnsi="Times New Roman" w:cs="Times New Roman"/>
      <w:sz w:val="28"/>
      <w:szCs w:val="20"/>
      <w:lang w:val="sv-SE"/>
    </w:rPr>
  </w:style>
  <w:style w:type="paragraph" w:styleId="Heading2">
    <w:name w:val="heading 2"/>
    <w:basedOn w:val="Normal"/>
    <w:next w:val="Normal"/>
    <w:link w:val="Heading2Char"/>
    <w:qFormat/>
    <w:rsid w:val="000B4CEB"/>
    <w:pPr>
      <w:keepNext/>
      <w:spacing w:before="240" w:after="60" w:line="240" w:lineRule="auto"/>
      <w:outlineLvl w:val="1"/>
    </w:pPr>
    <w:rPr>
      <w:rFonts w:ascii="Arial" w:eastAsia="Times New Roman" w:hAnsi="Arial" w:cs="Times New Roman"/>
      <w:b/>
      <w:i/>
      <w:sz w:val="24"/>
      <w:szCs w:val="20"/>
      <w:lang w:val="sv-SE"/>
    </w:rPr>
  </w:style>
  <w:style w:type="paragraph" w:styleId="Heading3">
    <w:name w:val="heading 3"/>
    <w:basedOn w:val="Normal"/>
    <w:next w:val="Normal"/>
    <w:link w:val="Heading3Char"/>
    <w:qFormat/>
    <w:rsid w:val="000B4CEB"/>
    <w:pPr>
      <w:keepNext/>
      <w:spacing w:before="240" w:after="60" w:line="240" w:lineRule="auto"/>
      <w:outlineLvl w:val="2"/>
    </w:pPr>
    <w:rPr>
      <w:rFonts w:ascii="Arial" w:eastAsia="Times New Roman" w:hAnsi="Arial" w:cs="Times New Roman"/>
      <w:sz w:val="24"/>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CEB"/>
    <w:rPr>
      <w:rFonts w:ascii="Times New Roman" w:eastAsia="Times New Roman" w:hAnsi="Times New Roman" w:cs="Times New Roman"/>
      <w:sz w:val="28"/>
      <w:szCs w:val="20"/>
      <w:lang w:val="sv-SE"/>
    </w:rPr>
  </w:style>
  <w:style w:type="character" w:customStyle="1" w:styleId="Heading2Char">
    <w:name w:val="Heading 2 Char"/>
    <w:basedOn w:val="DefaultParagraphFont"/>
    <w:link w:val="Heading2"/>
    <w:rsid w:val="000B4CEB"/>
    <w:rPr>
      <w:rFonts w:ascii="Arial" w:eastAsia="Times New Roman" w:hAnsi="Arial" w:cs="Times New Roman"/>
      <w:b/>
      <w:i/>
      <w:sz w:val="24"/>
      <w:szCs w:val="20"/>
      <w:lang w:val="sv-SE"/>
    </w:rPr>
  </w:style>
  <w:style w:type="character" w:customStyle="1" w:styleId="Heading3Char">
    <w:name w:val="Heading 3 Char"/>
    <w:basedOn w:val="DefaultParagraphFont"/>
    <w:link w:val="Heading3"/>
    <w:rsid w:val="000B4CEB"/>
    <w:rPr>
      <w:rFonts w:ascii="Arial" w:eastAsia="Times New Roman" w:hAnsi="Arial" w:cs="Times New Roman"/>
      <w:sz w:val="24"/>
      <w:szCs w:val="20"/>
      <w:lang w:val="sv-SE"/>
    </w:rPr>
  </w:style>
  <w:style w:type="character" w:styleId="FootnoteReference">
    <w:name w:val="footnote reference"/>
    <w:basedOn w:val="DefaultParagraphFont"/>
    <w:semiHidden/>
    <w:rsid w:val="000B4CEB"/>
    <w:rPr>
      <w:vertAlign w:val="superscript"/>
    </w:rPr>
  </w:style>
  <w:style w:type="paragraph" w:styleId="Index1">
    <w:name w:val="index 1"/>
    <w:basedOn w:val="Normal"/>
    <w:next w:val="Normal"/>
    <w:autoRedefine/>
    <w:uiPriority w:val="99"/>
    <w:semiHidden/>
    <w:unhideWhenUsed/>
    <w:rsid w:val="000B4CEB"/>
    <w:pPr>
      <w:spacing w:after="0" w:line="240" w:lineRule="auto"/>
      <w:ind w:left="220" w:hanging="220"/>
    </w:pPr>
  </w:style>
  <w:style w:type="paragraph" w:styleId="IndexHeading">
    <w:name w:val="index heading"/>
    <w:basedOn w:val="Normal"/>
    <w:next w:val="Index1"/>
    <w:semiHidden/>
    <w:rsid w:val="000B4CEB"/>
    <w:pPr>
      <w:spacing w:after="0" w:line="240" w:lineRule="auto"/>
    </w:pPr>
    <w:rPr>
      <w:rFonts w:ascii="Times New Roman" w:eastAsia="Times New Roman" w:hAnsi="Times New Roman" w:cs="Times New Roman"/>
      <w:sz w:val="24"/>
      <w:szCs w:val="20"/>
      <w:lang w:val="sv-SE"/>
    </w:rPr>
  </w:style>
  <w:style w:type="paragraph" w:styleId="FootnoteText">
    <w:name w:val="footnote text"/>
    <w:basedOn w:val="Normal"/>
    <w:link w:val="FootnoteTextChar"/>
    <w:semiHidden/>
    <w:rsid w:val="000B4CE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0B4CEB"/>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0B4CEB"/>
    <w:pPr>
      <w:spacing w:after="0" w:line="360" w:lineRule="auto"/>
    </w:pPr>
    <w:rPr>
      <w:rFonts w:ascii="Times New Roman" w:eastAsia="Times New Roman" w:hAnsi="Times New Roman" w:cs="Times New Roman"/>
      <w:sz w:val="20"/>
      <w:szCs w:val="20"/>
      <w:lang w:val="sv-SE"/>
    </w:rPr>
  </w:style>
  <w:style w:type="character" w:customStyle="1" w:styleId="BodyText3Char">
    <w:name w:val="Body Text 3 Char"/>
    <w:basedOn w:val="DefaultParagraphFont"/>
    <w:link w:val="BodyText3"/>
    <w:semiHidden/>
    <w:rsid w:val="000B4CEB"/>
    <w:rPr>
      <w:rFonts w:ascii="Times New Roman" w:eastAsia="Times New Roman" w:hAnsi="Times New Roman" w:cs="Times New Roman"/>
      <w:sz w:val="20"/>
      <w:szCs w:val="20"/>
      <w:lang w:val="sv-SE"/>
    </w:rPr>
  </w:style>
  <w:style w:type="character" w:customStyle="1" w:styleId="st">
    <w:name w:val="st"/>
    <w:basedOn w:val="DefaultParagraphFont"/>
    <w:rsid w:val="00F542FD"/>
  </w:style>
  <w:style w:type="paragraph" w:styleId="BalloonText">
    <w:name w:val="Balloon Text"/>
    <w:basedOn w:val="Normal"/>
    <w:link w:val="BalloonTextChar"/>
    <w:uiPriority w:val="99"/>
    <w:semiHidden/>
    <w:unhideWhenUsed/>
    <w:rsid w:val="00663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3298</Words>
  <Characters>19272</Characters>
  <Application>Microsoft Office Word</Application>
  <DocSecurity>0</DocSecurity>
  <Lines>283</Lines>
  <Paragraphs>49</Paragraphs>
  <ScaleCrop>false</ScaleCrop>
  <HeadingPairs>
    <vt:vector size="2" baseType="variant">
      <vt:variant>
        <vt:lpstr>Title</vt:lpstr>
      </vt:variant>
      <vt:variant>
        <vt:i4>1</vt:i4>
      </vt:variant>
    </vt:vector>
  </HeadingPairs>
  <TitlesOfParts>
    <vt:vector size="1" baseType="lpstr">
      <vt:lpstr/>
    </vt:vector>
  </TitlesOfParts>
  <Company>Väståbolands stad - Länsi-Turunmaan kaupunki</Company>
  <LinksUpToDate>false</LinksUpToDate>
  <CharactersWithSpaces>22556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Lepola</dc:creator>
  <cp:lastModifiedBy>heklund</cp:lastModifiedBy>
  <cp:revision>3</cp:revision>
  <cp:lastPrinted>2013-09-24T08:05:00Z</cp:lastPrinted>
  <dcterms:created xsi:type="dcterms:W3CDTF">2013-09-24T08:27:00Z</dcterms:created>
  <dcterms:modified xsi:type="dcterms:W3CDTF">2013-09-24T08:28:00Z</dcterms:modified>
</cp:coreProperties>
</file>